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0685" w14:textId="3D01D6B3" w:rsidR="00914EB9" w:rsidRDefault="0087771C" w:rsidP="00B955E5">
      <w:pPr>
        <w:pStyle w:val="Heading1"/>
      </w:pPr>
      <w:bookmarkStart w:id="0" w:name="_Toc105763691"/>
      <w:r>
        <w:rPr>
          <w:noProof/>
        </w:rPr>
        <w:drawing>
          <wp:anchor distT="0" distB="0" distL="114300" distR="114300" simplePos="0" relativeHeight="251658240" behindDoc="1" locked="0" layoutInCell="1" allowOverlap="1" wp14:anchorId="20DFCB96" wp14:editId="1D3B927F">
            <wp:simplePos x="0" y="0"/>
            <wp:positionH relativeFrom="page">
              <wp:posOffset>3293110</wp:posOffset>
            </wp:positionH>
            <wp:positionV relativeFrom="paragraph">
              <wp:posOffset>312420</wp:posOffset>
            </wp:positionV>
            <wp:extent cx="1190625" cy="1379855"/>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190625" cy="1379855"/>
                    </a:xfrm>
                    <a:prstGeom prst="rect">
                      <a:avLst/>
                    </a:prstGeom>
                    <a:noFill/>
                    <a:ln>
                      <a:noFill/>
                    </a:ln>
                  </pic:spPr>
                </pic:pic>
              </a:graphicData>
            </a:graphic>
            <wp14:sizeRelH relativeFrom="margin">
              <wp14:pctWidth>0</wp14:pctWidth>
            </wp14:sizeRelH>
          </wp:anchor>
        </w:drawing>
      </w:r>
    </w:p>
    <w:p w14:paraId="61D6496F" w14:textId="77777777" w:rsidR="007F0580" w:rsidRDefault="007F0580" w:rsidP="00B955E5">
      <w:pPr>
        <w:pStyle w:val="Heading1"/>
      </w:pPr>
    </w:p>
    <w:p w14:paraId="24EF11B6" w14:textId="77777777" w:rsidR="0087771C" w:rsidRDefault="0087771C" w:rsidP="00B955E5">
      <w:pPr>
        <w:pStyle w:val="Heading1"/>
      </w:pPr>
    </w:p>
    <w:p w14:paraId="1B889151" w14:textId="797E6C9B" w:rsidR="00397968" w:rsidRPr="007F1775" w:rsidRDefault="00E80331" w:rsidP="00B955E5">
      <w:pPr>
        <w:pStyle w:val="Heading1"/>
      </w:pPr>
      <w:r>
        <w:t xml:space="preserve">IAMTrusted </w:t>
      </w:r>
      <w:r w:rsidR="00747FE7">
        <w:t>Mover</w:t>
      </w:r>
      <w:r w:rsidR="00397968" w:rsidRPr="007F1775">
        <w:t xml:space="preserve"> </w:t>
      </w:r>
      <w:bookmarkEnd w:id="0"/>
      <w:r w:rsidR="00E1404A" w:rsidRPr="007F1775">
        <w:t>Program</w:t>
      </w:r>
    </w:p>
    <w:p w14:paraId="39B4E6AB" w14:textId="52E5E686" w:rsidR="009D51F5" w:rsidRDefault="00FA1C3D" w:rsidP="00FA1C3D">
      <w:pPr>
        <w:rPr>
          <w:color w:val="000000"/>
        </w:rPr>
      </w:pPr>
      <w:r>
        <w:t xml:space="preserve">The </w:t>
      </w:r>
      <w:r w:rsidR="007C6D2B">
        <w:t>IAMTrusted Mover</w:t>
      </w:r>
      <w:r>
        <w:t xml:space="preserve"> Program is built on the same foundation of trust as the IAM</w:t>
      </w:r>
      <w:r w:rsidR="00955DB5">
        <w:t>’s</w:t>
      </w:r>
      <w:r>
        <w:t xml:space="preserve"> Validation Program in IAMX. </w:t>
      </w:r>
      <w:r>
        <w:rPr>
          <w:color w:val="000000"/>
        </w:rPr>
        <w:t xml:space="preserve">Over two-thirds of IAM’s membership have voluntarily submitted to a Validation process that requires back-up documentation for each of their claimed industry qualifications. These verified documents proving their membership, compliance and quality qualifications are available for review at </w:t>
      </w:r>
      <w:r w:rsidR="00955DB5">
        <w:rPr>
          <w:color w:val="000000"/>
        </w:rPr>
        <w:t>any time</w:t>
      </w:r>
      <w:r>
        <w:rPr>
          <w:color w:val="000000"/>
        </w:rPr>
        <w:t xml:space="preserve"> by their industry peers.  The result </w:t>
      </w:r>
      <w:r w:rsidR="009D51F5">
        <w:rPr>
          <w:color w:val="000000"/>
        </w:rPr>
        <w:t>is the</w:t>
      </w:r>
      <w:r>
        <w:rPr>
          <w:color w:val="000000"/>
        </w:rPr>
        <w:t xml:space="preserve"> formation of a select group of IAMX-Validated service providers that are Trusted Worldwide. </w:t>
      </w:r>
    </w:p>
    <w:p w14:paraId="47C8D4CB" w14:textId="02FDB9B9" w:rsidR="00FA1C3D" w:rsidRDefault="00FA1C3D" w:rsidP="00FA1C3D">
      <w:pPr>
        <w:rPr>
          <w:color w:val="000000"/>
        </w:rPr>
      </w:pPr>
      <w:r>
        <w:rPr>
          <w:color w:val="000000"/>
        </w:rPr>
        <w:t xml:space="preserve">This commitment to trust, professional service and ethical business practices is the basis for the </w:t>
      </w:r>
      <w:r w:rsidR="007C6D2B">
        <w:rPr>
          <w:color w:val="000000"/>
        </w:rPr>
        <w:t>IAMTrusted Mover</w:t>
      </w:r>
      <w:r>
        <w:rPr>
          <w:color w:val="000000"/>
        </w:rPr>
        <w:t xml:space="preserve"> Program. Powered by the IAM Issue Resolution System, the </w:t>
      </w:r>
      <w:r w:rsidR="007C6D2B">
        <w:rPr>
          <w:color w:val="000000"/>
        </w:rPr>
        <w:t>IAMTrusted Mover</w:t>
      </w:r>
      <w:r>
        <w:rPr>
          <w:color w:val="000000"/>
        </w:rPr>
        <w:t xml:space="preserve"> Program is your </w:t>
      </w:r>
      <w:r w:rsidR="003F5475">
        <w:rPr>
          <w:color w:val="000000"/>
        </w:rPr>
        <w:t>assurance</w:t>
      </w:r>
      <w:r>
        <w:rPr>
          <w:color w:val="000000"/>
        </w:rPr>
        <w:t xml:space="preserve"> that issues and disputes among IAM Members will be resolved in a fair, timely and efficient manner. </w:t>
      </w:r>
    </w:p>
    <w:p w14:paraId="0599FE4E" w14:textId="0160F3D3" w:rsidR="00AB4E8F" w:rsidRDefault="00AB4E8F">
      <w:pPr>
        <w:spacing w:after="0" w:line="240" w:lineRule="auto"/>
      </w:pPr>
      <w:r>
        <w:br w:type="page"/>
      </w:r>
    </w:p>
    <w:p w14:paraId="3BAD8943" w14:textId="2620AF8A" w:rsidR="007056E1" w:rsidRDefault="00B90346" w:rsidP="0089112C">
      <w:pPr>
        <w:spacing w:before="120"/>
      </w:pPr>
      <w:r>
        <w:rPr>
          <w:noProof/>
        </w:rPr>
        <w:lastRenderedPageBreak/>
        <w:drawing>
          <wp:inline distT="0" distB="0" distL="0" distR="0" wp14:anchorId="4E8AD0B9" wp14:editId="28962098">
            <wp:extent cx="586523" cy="679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586523" cy="679390"/>
                    </a:xfrm>
                    <a:prstGeom prst="rect">
                      <a:avLst/>
                    </a:prstGeom>
                    <a:noFill/>
                    <a:ln>
                      <a:noFill/>
                    </a:ln>
                  </pic:spPr>
                </pic:pic>
              </a:graphicData>
            </a:graphic>
          </wp:inline>
        </w:drawing>
      </w:r>
    </w:p>
    <w:p w14:paraId="32F16891" w14:textId="2D474A1E" w:rsidR="00E1404A" w:rsidRDefault="007C6D2B" w:rsidP="00924F9A">
      <w:pPr>
        <w:pStyle w:val="Heading1"/>
      </w:pPr>
      <w:r>
        <w:t>IAMTrusted Mover</w:t>
      </w:r>
      <w:r w:rsidR="00E1404A">
        <w:t xml:space="preserve"> Agreement</w:t>
      </w:r>
    </w:p>
    <w:p w14:paraId="5A6EA7D3" w14:textId="6597938F" w:rsidR="00027B8B" w:rsidRDefault="00027B8B" w:rsidP="00027B8B">
      <w:r w:rsidRPr="00027B8B">
        <w:t xml:space="preserve">This Agreement lists the requirements that IAM member companies must adhere to as a condition of earning and maintaining their </w:t>
      </w:r>
      <w:r w:rsidR="007C6D2B">
        <w:t>IAMTrusted Mover</w:t>
      </w:r>
      <w:r w:rsidRPr="00027B8B">
        <w:t xml:space="preserve"> designation. These requirements are as follows: </w:t>
      </w:r>
    </w:p>
    <w:p w14:paraId="47EE4C99" w14:textId="1059A113" w:rsidR="00763E69" w:rsidRDefault="00027B8B" w:rsidP="00027B8B">
      <w:pPr>
        <w:pStyle w:val="ListParagraph"/>
        <w:numPr>
          <w:ilvl w:val="0"/>
          <w:numId w:val="27"/>
        </w:numPr>
      </w:pPr>
      <w:r w:rsidRPr="00027B8B">
        <w:t xml:space="preserve"> It has been in continuous legal operation under its current legal structure and operating name for at least 4 years. </w:t>
      </w:r>
      <w:r w:rsidR="00DF697C">
        <w:br/>
      </w:r>
    </w:p>
    <w:p w14:paraId="77F00B3B" w14:textId="2DED1738" w:rsidR="00763E69" w:rsidRDefault="00027B8B" w:rsidP="00763E69">
      <w:pPr>
        <w:pStyle w:val="ListParagraph"/>
        <w:numPr>
          <w:ilvl w:val="1"/>
          <w:numId w:val="27"/>
        </w:numPr>
      </w:pPr>
      <w:r w:rsidRPr="00027B8B">
        <w:t xml:space="preserve">Not applicable to </w:t>
      </w:r>
      <w:r w:rsidR="00F2444F">
        <w:t>IAMTRUSTED MOVER</w:t>
      </w:r>
      <w:r w:rsidRPr="00027B8B">
        <w:t xml:space="preserve"> Branch Companies in the same country as the Parent </w:t>
      </w:r>
      <w:r w:rsidR="00F2444F">
        <w:t>IAMTRUSTED MOVER</w:t>
      </w:r>
      <w:r w:rsidRPr="00027B8B">
        <w:t xml:space="preserve"> </w:t>
      </w:r>
      <w:r w:rsidR="00DF697C">
        <w:br/>
      </w:r>
    </w:p>
    <w:p w14:paraId="5097A6CA" w14:textId="651EA5B8" w:rsidR="00763E69" w:rsidRDefault="00027B8B" w:rsidP="00763E69">
      <w:pPr>
        <w:pStyle w:val="ListParagraph"/>
        <w:numPr>
          <w:ilvl w:val="0"/>
          <w:numId w:val="27"/>
        </w:numPr>
      </w:pPr>
      <w:r w:rsidRPr="00027B8B">
        <w:t xml:space="preserve">A Principal of the </w:t>
      </w:r>
      <w:r w:rsidR="007C6D2B">
        <w:t>IAMTrusted Mover</w:t>
      </w:r>
      <w:r w:rsidRPr="00027B8B">
        <w:t xml:space="preserve"> has taken the </w:t>
      </w:r>
      <w:r w:rsidR="007C6D2B">
        <w:t>IAMTrusted Mover</w:t>
      </w:r>
      <w:r w:rsidRPr="00027B8B">
        <w:t xml:space="preserve"> course and agreed to abide by the terms and conditions of the </w:t>
      </w:r>
      <w:r w:rsidR="007C6D2B">
        <w:t>IAMTrusted Mover</w:t>
      </w:r>
      <w:r w:rsidRPr="00027B8B">
        <w:t xml:space="preserve"> Agreement. </w:t>
      </w:r>
      <w:r w:rsidR="00DF697C">
        <w:br/>
      </w:r>
    </w:p>
    <w:p w14:paraId="48D3F578" w14:textId="3117250A" w:rsidR="00A62585" w:rsidRDefault="00027B8B" w:rsidP="00763E69">
      <w:pPr>
        <w:pStyle w:val="ListParagraph"/>
        <w:numPr>
          <w:ilvl w:val="0"/>
          <w:numId w:val="27"/>
        </w:numPr>
      </w:pPr>
      <w:r w:rsidRPr="00027B8B">
        <w:t xml:space="preserve">It has demonstrated a commitment to professionalism and continual improvement by having at least one staff member of the company earn and maintain in good standing the IAMTrusted Moving Specialist (ITMS) designation. </w:t>
      </w:r>
      <w:r w:rsidR="003D2018" w:rsidRPr="003D2018">
        <w:t xml:space="preserve">This requirement is waived for current FIDI members in good standing; however, all IAMTrusted </w:t>
      </w:r>
      <w:r w:rsidR="00B819D2">
        <w:t>Movers</w:t>
      </w:r>
      <w:r w:rsidR="003D2018" w:rsidRPr="003D2018">
        <w:t xml:space="preserve"> are encouraged to have staff complete the ITMS course as a best practice.</w:t>
      </w:r>
      <w:r w:rsidR="00DF697C">
        <w:br/>
      </w:r>
    </w:p>
    <w:p w14:paraId="74C94808" w14:textId="463978D6" w:rsidR="00A62585" w:rsidRDefault="001C1547" w:rsidP="00A62585">
      <w:pPr>
        <w:pStyle w:val="ListParagraph"/>
        <w:numPr>
          <w:ilvl w:val="1"/>
          <w:numId w:val="27"/>
        </w:numPr>
      </w:pPr>
      <w:r>
        <w:t>IAMTrusted Mover</w:t>
      </w:r>
      <w:r w:rsidR="00027B8B" w:rsidRPr="00027B8B">
        <w:t xml:space="preserve"> Branch Companies may share a Group ITMS to meet this requirement: </w:t>
      </w:r>
      <w:r w:rsidR="00DF697C">
        <w:br/>
      </w:r>
    </w:p>
    <w:p w14:paraId="70771BD2" w14:textId="657C2209" w:rsidR="000A1FE7" w:rsidRDefault="00027B8B" w:rsidP="00A62585">
      <w:pPr>
        <w:pStyle w:val="ListParagraph"/>
        <w:numPr>
          <w:ilvl w:val="2"/>
          <w:numId w:val="27"/>
        </w:numPr>
      </w:pPr>
      <w:r w:rsidRPr="00027B8B">
        <w:t xml:space="preserve">1 to 5 branch offices – 1 Group ITMS </w:t>
      </w:r>
      <w:r w:rsidR="00DF697C">
        <w:br/>
      </w:r>
    </w:p>
    <w:p w14:paraId="2E09D5DC" w14:textId="6632A5E8" w:rsidR="000A1FE7" w:rsidRDefault="00027B8B" w:rsidP="00A62585">
      <w:pPr>
        <w:pStyle w:val="ListParagraph"/>
        <w:numPr>
          <w:ilvl w:val="2"/>
          <w:numId w:val="27"/>
        </w:numPr>
      </w:pPr>
      <w:r w:rsidRPr="00027B8B">
        <w:t xml:space="preserve">6 to 10 branch offices – 2 Group ITMS </w:t>
      </w:r>
      <w:r w:rsidR="00DF697C">
        <w:br/>
      </w:r>
    </w:p>
    <w:p w14:paraId="7BD963A9" w14:textId="4013B20A" w:rsidR="000A1FE7" w:rsidRDefault="00027B8B" w:rsidP="00A62585">
      <w:pPr>
        <w:pStyle w:val="ListParagraph"/>
        <w:numPr>
          <w:ilvl w:val="2"/>
          <w:numId w:val="27"/>
        </w:numPr>
      </w:pPr>
      <w:r w:rsidRPr="00027B8B">
        <w:t xml:space="preserve">11 to 20 branch offices – 3 Group ITMS </w:t>
      </w:r>
      <w:r w:rsidR="00DF697C">
        <w:br/>
      </w:r>
    </w:p>
    <w:p w14:paraId="3EA69E18" w14:textId="4EA1EDAB" w:rsidR="000A1FE7" w:rsidRDefault="00027B8B" w:rsidP="00A62585">
      <w:pPr>
        <w:pStyle w:val="ListParagraph"/>
        <w:numPr>
          <w:ilvl w:val="2"/>
          <w:numId w:val="27"/>
        </w:numPr>
      </w:pPr>
      <w:r w:rsidRPr="00027B8B">
        <w:t xml:space="preserve">21+ branch offices – 5 Group ITMS </w:t>
      </w:r>
      <w:r w:rsidR="00DF697C">
        <w:br/>
      </w:r>
    </w:p>
    <w:p w14:paraId="66D01883" w14:textId="35279044" w:rsidR="000A1FE7" w:rsidRDefault="00027B8B" w:rsidP="000A1FE7">
      <w:pPr>
        <w:pStyle w:val="ListParagraph"/>
        <w:numPr>
          <w:ilvl w:val="0"/>
          <w:numId w:val="27"/>
        </w:numPr>
      </w:pPr>
      <w:r w:rsidRPr="00027B8B">
        <w:t xml:space="preserve">It has agreed to abide by the FIDI Professional Cooperation Guidelines when dealing with other IAM members when an existing service level agreement (SLA) has not been agreed. </w:t>
      </w:r>
      <w:r w:rsidR="00DF697C">
        <w:br/>
      </w:r>
    </w:p>
    <w:p w14:paraId="3C5AEABB" w14:textId="49D63DB2" w:rsidR="00784BE1" w:rsidRDefault="00027B8B" w:rsidP="000A1FE7">
      <w:pPr>
        <w:pStyle w:val="ListParagraph"/>
        <w:numPr>
          <w:ilvl w:val="0"/>
          <w:numId w:val="27"/>
        </w:numPr>
      </w:pPr>
      <w:r w:rsidRPr="00027B8B">
        <w:t xml:space="preserve">It complies with all licensing, regulatory, insurance and bonding requirements for the applicable jurisdictions and specific service lines which it advertises and provides to the public. </w:t>
      </w:r>
      <w:r w:rsidR="00DF697C">
        <w:br/>
      </w:r>
    </w:p>
    <w:p w14:paraId="54E642CE" w14:textId="3B09A9F6" w:rsidR="00784BE1" w:rsidRDefault="00027B8B" w:rsidP="000A1FE7">
      <w:pPr>
        <w:pStyle w:val="ListParagraph"/>
        <w:numPr>
          <w:ilvl w:val="0"/>
          <w:numId w:val="27"/>
        </w:numPr>
      </w:pPr>
      <w:r w:rsidRPr="00027B8B">
        <w:lastRenderedPageBreak/>
        <w:t xml:space="preserve">It has provided documentation of its written data privacy and protection policy that conforms to the principles set forth in the IAM Code of Ethics. </w:t>
      </w:r>
      <w:r w:rsidR="00DF697C">
        <w:br/>
      </w:r>
    </w:p>
    <w:p w14:paraId="4945C403" w14:textId="1D78FDCD" w:rsidR="00784BE1" w:rsidRDefault="00027B8B" w:rsidP="000A1FE7">
      <w:pPr>
        <w:pStyle w:val="ListParagraph"/>
        <w:numPr>
          <w:ilvl w:val="0"/>
          <w:numId w:val="27"/>
        </w:numPr>
      </w:pPr>
      <w:r w:rsidRPr="00027B8B">
        <w:t xml:space="preserve">It will respond promptly and completely according to the IIRS Guidelines to any issues, disputes or complaints filed against it. Listing in the IAM Company Alerts (excluding the New IAM Members category) shall result in the immediate removal of </w:t>
      </w:r>
      <w:r w:rsidR="007C6D2B">
        <w:t>IAMTrusted Mover</w:t>
      </w:r>
      <w:r w:rsidRPr="00027B8B">
        <w:t xml:space="preserve"> status. </w:t>
      </w:r>
      <w:r w:rsidR="00DF697C">
        <w:br/>
      </w:r>
    </w:p>
    <w:p w14:paraId="3306D62E" w14:textId="6CE5FA3F" w:rsidR="00784BE1" w:rsidRDefault="00027B8B" w:rsidP="000A1FE7">
      <w:pPr>
        <w:pStyle w:val="ListParagraph"/>
        <w:numPr>
          <w:ilvl w:val="0"/>
          <w:numId w:val="27"/>
        </w:numPr>
      </w:pPr>
      <w:r w:rsidRPr="00027B8B">
        <w:t xml:space="preserve">It will comply in a timely and complete manner with any judgment resulting from an issue referred by IAM Staff to its established resolution processes in the RPP Operating Rules and Regulations and IAM Procedures for Dispute Resolution and Ethics Enforcement. </w:t>
      </w:r>
      <w:r w:rsidR="00DF697C">
        <w:br/>
      </w:r>
    </w:p>
    <w:p w14:paraId="6E660DB6" w14:textId="2D903E64" w:rsidR="00784BE1" w:rsidRDefault="00027B8B" w:rsidP="000A1FE7">
      <w:pPr>
        <w:pStyle w:val="ListParagraph"/>
        <w:numPr>
          <w:ilvl w:val="0"/>
          <w:numId w:val="27"/>
        </w:numPr>
      </w:pPr>
      <w:r w:rsidRPr="00027B8B">
        <w:t xml:space="preserve">An </w:t>
      </w:r>
      <w:r w:rsidR="007C6D2B">
        <w:t>IAMTrusted Mover</w:t>
      </w:r>
      <w:r w:rsidRPr="00027B8B">
        <w:t xml:space="preserve"> must pay the debts it has incurred on services it has ordered. Failure to resolve undisputed debts reported into the IIRS against an </w:t>
      </w:r>
      <w:r w:rsidR="007C6D2B">
        <w:t>IAMTrusted Mover</w:t>
      </w:r>
      <w:r w:rsidRPr="00027B8B">
        <w:t xml:space="preserve"> within the 30-day self-resolution </w:t>
      </w:r>
      <w:proofErr w:type="gramStart"/>
      <w:r w:rsidRPr="00027B8B">
        <w:t>time period</w:t>
      </w:r>
      <w:proofErr w:type="gramEnd"/>
      <w:r w:rsidRPr="00027B8B">
        <w:t xml:space="preserve"> shall result in the immediate removal of </w:t>
      </w:r>
      <w:r w:rsidR="007C6D2B">
        <w:t>IAMTrusted Mover</w:t>
      </w:r>
      <w:r w:rsidRPr="00027B8B">
        <w:t xml:space="preserve"> status. </w:t>
      </w:r>
      <w:r w:rsidR="00BF3AF2">
        <w:br/>
      </w:r>
    </w:p>
    <w:p w14:paraId="790EF2C8" w14:textId="15A88AAB" w:rsidR="00784BE1" w:rsidRDefault="00027B8B" w:rsidP="000A1FE7">
      <w:pPr>
        <w:pStyle w:val="ListParagraph"/>
        <w:numPr>
          <w:ilvl w:val="0"/>
          <w:numId w:val="27"/>
        </w:numPr>
      </w:pPr>
      <w:r w:rsidRPr="00027B8B">
        <w:t xml:space="preserve">IAMTrusted </w:t>
      </w:r>
      <w:r w:rsidR="005425D4">
        <w:t>Movers</w:t>
      </w:r>
      <w:r w:rsidRPr="00027B8B">
        <w:t xml:space="preserve"> must be in good standing with IAM. If an </w:t>
      </w:r>
      <w:r w:rsidR="00D31A58">
        <w:t>IAMTrusted Mover</w:t>
      </w:r>
      <w:r w:rsidRPr="00027B8B">
        <w:t xml:space="preserve"> fails to renew its IAM membership dues after 45 days of the invoice date, it will lose its IAMTrusted status. </w:t>
      </w:r>
      <w:r w:rsidR="00BF3AF2">
        <w:br/>
      </w:r>
    </w:p>
    <w:p w14:paraId="3CA2C15F" w14:textId="17D03F47" w:rsidR="00BF3AF2" w:rsidRDefault="00027B8B" w:rsidP="000A1FE7">
      <w:pPr>
        <w:pStyle w:val="ListParagraph"/>
        <w:numPr>
          <w:ilvl w:val="0"/>
          <w:numId w:val="27"/>
        </w:numPr>
      </w:pPr>
      <w:r w:rsidRPr="00027B8B">
        <w:t xml:space="preserve">An </w:t>
      </w:r>
      <w:r w:rsidR="007C6D2B">
        <w:t>IAMTrusted Mover</w:t>
      </w:r>
      <w:r w:rsidRPr="00027B8B">
        <w:t xml:space="preserve"> may not hold current shipments hostage as a means of collecting past debts. It may not withhold service unless a requirement for pre-payment of the </w:t>
      </w:r>
      <w:proofErr w:type="gramStart"/>
      <w:r w:rsidRPr="00027B8B">
        <w:t>particular services</w:t>
      </w:r>
      <w:proofErr w:type="gramEnd"/>
      <w:r w:rsidRPr="00027B8B">
        <w:t xml:space="preserve"> has been predetermined and agreed. </w:t>
      </w:r>
      <w:r w:rsidR="00BF3AF2">
        <w:br/>
      </w:r>
    </w:p>
    <w:p w14:paraId="59B9DF4A" w14:textId="5A976536" w:rsidR="00027B8B" w:rsidRDefault="007C6D2B" w:rsidP="000A1FE7">
      <w:pPr>
        <w:pStyle w:val="ListParagraph"/>
        <w:numPr>
          <w:ilvl w:val="0"/>
          <w:numId w:val="27"/>
        </w:numPr>
      </w:pPr>
      <w:r>
        <w:t>IAMTrusted Mover</w:t>
      </w:r>
      <w:r w:rsidR="00027B8B" w:rsidRPr="00027B8B">
        <w:t xml:space="preserve"> credentials will be documented, reviewed, and validated through the IAMX Validation system.</w:t>
      </w:r>
    </w:p>
    <w:sectPr w:rsidR="00027B8B" w:rsidSect="004C176D">
      <w:headerReference w:type="default" r:id="rId9"/>
      <w:type w:val="continuous"/>
      <w:pgSz w:w="12240" w:h="15840"/>
      <w:pgMar w:top="1620" w:right="1080" w:bottom="1440" w:left="18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3136" w14:textId="77777777" w:rsidR="00B472C5" w:rsidRDefault="00B472C5" w:rsidP="00640EB1">
      <w:r>
        <w:separator/>
      </w:r>
    </w:p>
  </w:endnote>
  <w:endnote w:type="continuationSeparator" w:id="0">
    <w:p w14:paraId="4DD3AB06" w14:textId="77777777" w:rsidR="00B472C5" w:rsidRDefault="00B472C5" w:rsidP="00640EB1">
      <w:r>
        <w:continuationSeparator/>
      </w:r>
    </w:p>
  </w:endnote>
  <w:endnote w:type="continuationNotice" w:id="1">
    <w:p w14:paraId="6D02AB3F" w14:textId="77777777" w:rsidR="00B472C5" w:rsidRDefault="00B47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8ABA" w14:textId="77777777" w:rsidR="00B472C5" w:rsidRDefault="00B472C5" w:rsidP="00640EB1">
      <w:r>
        <w:separator/>
      </w:r>
    </w:p>
  </w:footnote>
  <w:footnote w:type="continuationSeparator" w:id="0">
    <w:p w14:paraId="5EEA1CD1" w14:textId="77777777" w:rsidR="00B472C5" w:rsidRDefault="00B472C5" w:rsidP="00640EB1">
      <w:r>
        <w:continuationSeparator/>
      </w:r>
    </w:p>
  </w:footnote>
  <w:footnote w:type="continuationNotice" w:id="1">
    <w:p w14:paraId="49028CA7" w14:textId="77777777" w:rsidR="00B472C5" w:rsidRDefault="00B472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A801" w14:textId="77777777" w:rsidR="00A26900" w:rsidRDefault="00A26900" w:rsidP="00C65E5C">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B2"/>
    <w:multiLevelType w:val="hybridMultilevel"/>
    <w:tmpl w:val="95CE9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E67ED"/>
    <w:multiLevelType w:val="hybridMultilevel"/>
    <w:tmpl w:val="65D89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19F8"/>
    <w:multiLevelType w:val="hybridMultilevel"/>
    <w:tmpl w:val="FB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564C7"/>
    <w:multiLevelType w:val="hybridMultilevel"/>
    <w:tmpl w:val="22C89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144C7"/>
    <w:multiLevelType w:val="hybridMultilevel"/>
    <w:tmpl w:val="7A963B4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253A"/>
    <w:multiLevelType w:val="hybridMultilevel"/>
    <w:tmpl w:val="CA8A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1FCF"/>
    <w:multiLevelType w:val="hybridMultilevel"/>
    <w:tmpl w:val="0E7866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A23A39"/>
    <w:multiLevelType w:val="hybridMultilevel"/>
    <w:tmpl w:val="59E8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E03D9"/>
    <w:multiLevelType w:val="hybridMultilevel"/>
    <w:tmpl w:val="3AFE8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16DF9"/>
    <w:multiLevelType w:val="hybridMultilevel"/>
    <w:tmpl w:val="0728F57C"/>
    <w:lvl w:ilvl="0" w:tplc="941A53FA">
      <w:start w:val="1"/>
      <w:numFmt w:val="bullet"/>
      <w:lvlText w:val="-"/>
      <w:lvlJc w:val="left"/>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47304"/>
    <w:multiLevelType w:val="hybridMultilevel"/>
    <w:tmpl w:val="D4D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00326"/>
    <w:multiLevelType w:val="hybridMultilevel"/>
    <w:tmpl w:val="E81E8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93B42"/>
    <w:multiLevelType w:val="hybridMultilevel"/>
    <w:tmpl w:val="073A99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6E0B16"/>
    <w:multiLevelType w:val="hybridMultilevel"/>
    <w:tmpl w:val="1C2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7FE2"/>
    <w:multiLevelType w:val="hybridMultilevel"/>
    <w:tmpl w:val="A296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05197"/>
    <w:multiLevelType w:val="hybridMultilevel"/>
    <w:tmpl w:val="C6C4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1653C"/>
    <w:multiLevelType w:val="hybridMultilevel"/>
    <w:tmpl w:val="0046B9A8"/>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251060"/>
    <w:multiLevelType w:val="hybridMultilevel"/>
    <w:tmpl w:val="C91E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A613A"/>
    <w:multiLevelType w:val="hybridMultilevel"/>
    <w:tmpl w:val="81EA8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5F2B"/>
    <w:multiLevelType w:val="hybridMultilevel"/>
    <w:tmpl w:val="8730C5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32788A"/>
    <w:multiLevelType w:val="hybridMultilevel"/>
    <w:tmpl w:val="438A61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2E4DB6"/>
    <w:multiLevelType w:val="hybridMultilevel"/>
    <w:tmpl w:val="E8D0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82B38"/>
    <w:multiLevelType w:val="hybridMultilevel"/>
    <w:tmpl w:val="8A380E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0C70BA"/>
    <w:multiLevelType w:val="hybridMultilevel"/>
    <w:tmpl w:val="12409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A7DB9"/>
    <w:multiLevelType w:val="hybridMultilevel"/>
    <w:tmpl w:val="06509D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902EF5"/>
    <w:multiLevelType w:val="hybridMultilevel"/>
    <w:tmpl w:val="41BC4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5532D"/>
    <w:multiLevelType w:val="hybridMultilevel"/>
    <w:tmpl w:val="5AD2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106281">
    <w:abstractNumId w:val="24"/>
  </w:num>
  <w:num w:numId="2" w16cid:durableId="121114938">
    <w:abstractNumId w:val="10"/>
  </w:num>
  <w:num w:numId="3" w16cid:durableId="130556186">
    <w:abstractNumId w:val="5"/>
  </w:num>
  <w:num w:numId="4" w16cid:durableId="501551570">
    <w:abstractNumId w:val="19"/>
  </w:num>
  <w:num w:numId="5" w16cid:durableId="1511798454">
    <w:abstractNumId w:val="8"/>
  </w:num>
  <w:num w:numId="6" w16cid:durableId="774520139">
    <w:abstractNumId w:val="4"/>
  </w:num>
  <w:num w:numId="7" w16cid:durableId="619723899">
    <w:abstractNumId w:val="7"/>
  </w:num>
  <w:num w:numId="8" w16cid:durableId="1844318618">
    <w:abstractNumId w:val="26"/>
  </w:num>
  <w:num w:numId="9" w16cid:durableId="1703822376">
    <w:abstractNumId w:val="13"/>
  </w:num>
  <w:num w:numId="10" w16cid:durableId="67506203">
    <w:abstractNumId w:val="17"/>
  </w:num>
  <w:num w:numId="11" w16cid:durableId="140736940">
    <w:abstractNumId w:val="21"/>
  </w:num>
  <w:num w:numId="12" w16cid:durableId="335622548">
    <w:abstractNumId w:val="20"/>
  </w:num>
  <w:num w:numId="13" w16cid:durableId="1082796368">
    <w:abstractNumId w:val="12"/>
  </w:num>
  <w:num w:numId="14" w16cid:durableId="486674946">
    <w:abstractNumId w:val="6"/>
  </w:num>
  <w:num w:numId="15" w16cid:durableId="399135449">
    <w:abstractNumId w:val="0"/>
  </w:num>
  <w:num w:numId="16" w16cid:durableId="448814654">
    <w:abstractNumId w:val="14"/>
  </w:num>
  <w:num w:numId="17" w16cid:durableId="851646255">
    <w:abstractNumId w:val="11"/>
  </w:num>
  <w:num w:numId="18" w16cid:durableId="768504043">
    <w:abstractNumId w:val="22"/>
  </w:num>
  <w:num w:numId="19" w16cid:durableId="653417878">
    <w:abstractNumId w:val="25"/>
  </w:num>
  <w:num w:numId="20" w16cid:durableId="2064983050">
    <w:abstractNumId w:val="9"/>
  </w:num>
  <w:num w:numId="21" w16cid:durableId="1594244028">
    <w:abstractNumId w:val="16"/>
  </w:num>
  <w:num w:numId="22" w16cid:durableId="1345282698">
    <w:abstractNumId w:val="23"/>
  </w:num>
  <w:num w:numId="23" w16cid:durableId="225772652">
    <w:abstractNumId w:val="2"/>
  </w:num>
  <w:num w:numId="24" w16cid:durableId="1383137804">
    <w:abstractNumId w:val="18"/>
  </w:num>
  <w:num w:numId="25" w16cid:durableId="582959203">
    <w:abstractNumId w:val="1"/>
  </w:num>
  <w:num w:numId="26" w16cid:durableId="2145810519">
    <w:abstractNumId w:val="15"/>
  </w:num>
  <w:num w:numId="27" w16cid:durableId="1209996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A8"/>
    <w:rsid w:val="00005A61"/>
    <w:rsid w:val="00007495"/>
    <w:rsid w:val="00010311"/>
    <w:rsid w:val="00015CA9"/>
    <w:rsid w:val="00017C66"/>
    <w:rsid w:val="00020300"/>
    <w:rsid w:val="00024BD3"/>
    <w:rsid w:val="00027B8B"/>
    <w:rsid w:val="00032C04"/>
    <w:rsid w:val="000573AA"/>
    <w:rsid w:val="00063C76"/>
    <w:rsid w:val="0006682C"/>
    <w:rsid w:val="00072EC8"/>
    <w:rsid w:val="000950B6"/>
    <w:rsid w:val="000A1FE7"/>
    <w:rsid w:val="000A3469"/>
    <w:rsid w:val="000A445E"/>
    <w:rsid w:val="000A5B93"/>
    <w:rsid w:val="000C3513"/>
    <w:rsid w:val="000C5F90"/>
    <w:rsid w:val="000D1049"/>
    <w:rsid w:val="000E2370"/>
    <w:rsid w:val="000F3FAC"/>
    <w:rsid w:val="0011749D"/>
    <w:rsid w:val="0012000E"/>
    <w:rsid w:val="00120618"/>
    <w:rsid w:val="001265E5"/>
    <w:rsid w:val="00127030"/>
    <w:rsid w:val="001369B4"/>
    <w:rsid w:val="00137F4B"/>
    <w:rsid w:val="00161C2C"/>
    <w:rsid w:val="00163380"/>
    <w:rsid w:val="001737B9"/>
    <w:rsid w:val="001752EC"/>
    <w:rsid w:val="00184A3F"/>
    <w:rsid w:val="001A3ED7"/>
    <w:rsid w:val="001C1547"/>
    <w:rsid w:val="001D0665"/>
    <w:rsid w:val="001E7DFB"/>
    <w:rsid w:val="001F40F7"/>
    <w:rsid w:val="0020235C"/>
    <w:rsid w:val="00202E2A"/>
    <w:rsid w:val="00204297"/>
    <w:rsid w:val="00204EBF"/>
    <w:rsid w:val="0021665B"/>
    <w:rsid w:val="00220077"/>
    <w:rsid w:val="00221B41"/>
    <w:rsid w:val="002361C0"/>
    <w:rsid w:val="0028187A"/>
    <w:rsid w:val="002818CC"/>
    <w:rsid w:val="002A5B09"/>
    <w:rsid w:val="002B1ABB"/>
    <w:rsid w:val="002B47FF"/>
    <w:rsid w:val="002C2DD1"/>
    <w:rsid w:val="002D2F95"/>
    <w:rsid w:val="002D5057"/>
    <w:rsid w:val="002E09A5"/>
    <w:rsid w:val="003213F3"/>
    <w:rsid w:val="00323866"/>
    <w:rsid w:val="00330576"/>
    <w:rsid w:val="00333065"/>
    <w:rsid w:val="00333938"/>
    <w:rsid w:val="003347D2"/>
    <w:rsid w:val="00341DE1"/>
    <w:rsid w:val="003446DB"/>
    <w:rsid w:val="00354A73"/>
    <w:rsid w:val="00355521"/>
    <w:rsid w:val="00362839"/>
    <w:rsid w:val="003776B4"/>
    <w:rsid w:val="003914D7"/>
    <w:rsid w:val="00397968"/>
    <w:rsid w:val="003C1046"/>
    <w:rsid w:val="003C4063"/>
    <w:rsid w:val="003D2018"/>
    <w:rsid w:val="003D5C9F"/>
    <w:rsid w:val="003D6EB6"/>
    <w:rsid w:val="003E72CF"/>
    <w:rsid w:val="003F5475"/>
    <w:rsid w:val="00400F26"/>
    <w:rsid w:val="00405EEE"/>
    <w:rsid w:val="00420EBF"/>
    <w:rsid w:val="00423310"/>
    <w:rsid w:val="004279D5"/>
    <w:rsid w:val="004379CF"/>
    <w:rsid w:val="0044358C"/>
    <w:rsid w:val="00451818"/>
    <w:rsid w:val="00456BDD"/>
    <w:rsid w:val="004607C3"/>
    <w:rsid w:val="00461958"/>
    <w:rsid w:val="00467AA4"/>
    <w:rsid w:val="00471A5D"/>
    <w:rsid w:val="00471F8E"/>
    <w:rsid w:val="0048058F"/>
    <w:rsid w:val="00483F0A"/>
    <w:rsid w:val="004938CF"/>
    <w:rsid w:val="0049546A"/>
    <w:rsid w:val="004B1F55"/>
    <w:rsid w:val="004B5FC1"/>
    <w:rsid w:val="004C176D"/>
    <w:rsid w:val="004C1B4C"/>
    <w:rsid w:val="004C2947"/>
    <w:rsid w:val="004C4234"/>
    <w:rsid w:val="004C64D0"/>
    <w:rsid w:val="004D1B11"/>
    <w:rsid w:val="004D61C6"/>
    <w:rsid w:val="004D6DBA"/>
    <w:rsid w:val="004F21D9"/>
    <w:rsid w:val="00504529"/>
    <w:rsid w:val="00511D5E"/>
    <w:rsid w:val="00541AC9"/>
    <w:rsid w:val="00541D77"/>
    <w:rsid w:val="005425D4"/>
    <w:rsid w:val="00562F41"/>
    <w:rsid w:val="00572280"/>
    <w:rsid w:val="00573C57"/>
    <w:rsid w:val="005753D4"/>
    <w:rsid w:val="00575B89"/>
    <w:rsid w:val="00575C05"/>
    <w:rsid w:val="005820FB"/>
    <w:rsid w:val="00582863"/>
    <w:rsid w:val="005A28A0"/>
    <w:rsid w:val="005D0974"/>
    <w:rsid w:val="005D2F9B"/>
    <w:rsid w:val="005D3885"/>
    <w:rsid w:val="005E4CDE"/>
    <w:rsid w:val="005F18FE"/>
    <w:rsid w:val="005F5173"/>
    <w:rsid w:val="006173BF"/>
    <w:rsid w:val="00620799"/>
    <w:rsid w:val="00621493"/>
    <w:rsid w:val="006315BB"/>
    <w:rsid w:val="00633DB0"/>
    <w:rsid w:val="0064037E"/>
    <w:rsid w:val="00640EB1"/>
    <w:rsid w:val="006540A9"/>
    <w:rsid w:val="00661218"/>
    <w:rsid w:val="00666397"/>
    <w:rsid w:val="00667524"/>
    <w:rsid w:val="0067144B"/>
    <w:rsid w:val="00683629"/>
    <w:rsid w:val="00684098"/>
    <w:rsid w:val="006872B3"/>
    <w:rsid w:val="006A1CAB"/>
    <w:rsid w:val="006A2B41"/>
    <w:rsid w:val="006A41F9"/>
    <w:rsid w:val="006B692B"/>
    <w:rsid w:val="006C4C06"/>
    <w:rsid w:val="006C4F79"/>
    <w:rsid w:val="006C7B19"/>
    <w:rsid w:val="006D66EF"/>
    <w:rsid w:val="006E721D"/>
    <w:rsid w:val="006F15EA"/>
    <w:rsid w:val="007056E1"/>
    <w:rsid w:val="00706DB6"/>
    <w:rsid w:val="00716254"/>
    <w:rsid w:val="00725722"/>
    <w:rsid w:val="00734890"/>
    <w:rsid w:val="00740DA0"/>
    <w:rsid w:val="00745358"/>
    <w:rsid w:val="00746738"/>
    <w:rsid w:val="00747FE7"/>
    <w:rsid w:val="00750EDB"/>
    <w:rsid w:val="0075266F"/>
    <w:rsid w:val="007556C0"/>
    <w:rsid w:val="00757178"/>
    <w:rsid w:val="00763E69"/>
    <w:rsid w:val="007717F8"/>
    <w:rsid w:val="007735DF"/>
    <w:rsid w:val="00784BE1"/>
    <w:rsid w:val="007879D9"/>
    <w:rsid w:val="00791C3A"/>
    <w:rsid w:val="007B6CA3"/>
    <w:rsid w:val="007C4E4E"/>
    <w:rsid w:val="007C6D2B"/>
    <w:rsid w:val="007E18ED"/>
    <w:rsid w:val="007E1FD1"/>
    <w:rsid w:val="007F0244"/>
    <w:rsid w:val="007F0580"/>
    <w:rsid w:val="007F1775"/>
    <w:rsid w:val="0081319F"/>
    <w:rsid w:val="0081396E"/>
    <w:rsid w:val="0081614F"/>
    <w:rsid w:val="00816C4A"/>
    <w:rsid w:val="008201AE"/>
    <w:rsid w:val="00821169"/>
    <w:rsid w:val="00823A60"/>
    <w:rsid w:val="00825509"/>
    <w:rsid w:val="00825658"/>
    <w:rsid w:val="008326F8"/>
    <w:rsid w:val="00835667"/>
    <w:rsid w:val="00835DC8"/>
    <w:rsid w:val="00836BA6"/>
    <w:rsid w:val="00845591"/>
    <w:rsid w:val="0085478A"/>
    <w:rsid w:val="0086013D"/>
    <w:rsid w:val="00864AFB"/>
    <w:rsid w:val="008738DE"/>
    <w:rsid w:val="0087771C"/>
    <w:rsid w:val="0089112C"/>
    <w:rsid w:val="0089127A"/>
    <w:rsid w:val="008B0078"/>
    <w:rsid w:val="008B63DF"/>
    <w:rsid w:val="008B7400"/>
    <w:rsid w:val="008B76C1"/>
    <w:rsid w:val="008C192C"/>
    <w:rsid w:val="008C27A7"/>
    <w:rsid w:val="008C75C0"/>
    <w:rsid w:val="008D42CC"/>
    <w:rsid w:val="008E5912"/>
    <w:rsid w:val="00905BA3"/>
    <w:rsid w:val="009076B6"/>
    <w:rsid w:val="00914EB9"/>
    <w:rsid w:val="0092182D"/>
    <w:rsid w:val="009247CC"/>
    <w:rsid w:val="00924F9A"/>
    <w:rsid w:val="009315B7"/>
    <w:rsid w:val="00951837"/>
    <w:rsid w:val="0095421F"/>
    <w:rsid w:val="00955DB5"/>
    <w:rsid w:val="0096650F"/>
    <w:rsid w:val="00974D6D"/>
    <w:rsid w:val="009862A3"/>
    <w:rsid w:val="009874CD"/>
    <w:rsid w:val="00991450"/>
    <w:rsid w:val="009A30E2"/>
    <w:rsid w:val="009A599F"/>
    <w:rsid w:val="009A6C75"/>
    <w:rsid w:val="009C1295"/>
    <w:rsid w:val="009D51F5"/>
    <w:rsid w:val="009E2002"/>
    <w:rsid w:val="009E223A"/>
    <w:rsid w:val="009E2581"/>
    <w:rsid w:val="009E7DC3"/>
    <w:rsid w:val="00A05E48"/>
    <w:rsid w:val="00A148D4"/>
    <w:rsid w:val="00A14D3B"/>
    <w:rsid w:val="00A17D45"/>
    <w:rsid w:val="00A17DDB"/>
    <w:rsid w:val="00A21386"/>
    <w:rsid w:val="00A2646E"/>
    <w:rsid w:val="00A26900"/>
    <w:rsid w:val="00A26A84"/>
    <w:rsid w:val="00A30006"/>
    <w:rsid w:val="00A437E4"/>
    <w:rsid w:val="00A54027"/>
    <w:rsid w:val="00A56767"/>
    <w:rsid w:val="00A61130"/>
    <w:rsid w:val="00A62585"/>
    <w:rsid w:val="00A646A8"/>
    <w:rsid w:val="00A64D56"/>
    <w:rsid w:val="00A6721C"/>
    <w:rsid w:val="00A71EB1"/>
    <w:rsid w:val="00A72B25"/>
    <w:rsid w:val="00A76534"/>
    <w:rsid w:val="00A8057B"/>
    <w:rsid w:val="00A9536A"/>
    <w:rsid w:val="00AA1788"/>
    <w:rsid w:val="00AA32CF"/>
    <w:rsid w:val="00AB4111"/>
    <w:rsid w:val="00AB4E8F"/>
    <w:rsid w:val="00AC5F3C"/>
    <w:rsid w:val="00B17951"/>
    <w:rsid w:val="00B218DC"/>
    <w:rsid w:val="00B30659"/>
    <w:rsid w:val="00B472C5"/>
    <w:rsid w:val="00B6348F"/>
    <w:rsid w:val="00B66DBB"/>
    <w:rsid w:val="00B767C3"/>
    <w:rsid w:val="00B819D2"/>
    <w:rsid w:val="00B8379C"/>
    <w:rsid w:val="00B857FF"/>
    <w:rsid w:val="00B90346"/>
    <w:rsid w:val="00B90A1D"/>
    <w:rsid w:val="00B94D0B"/>
    <w:rsid w:val="00B955E5"/>
    <w:rsid w:val="00BA07F0"/>
    <w:rsid w:val="00BB006E"/>
    <w:rsid w:val="00BB2450"/>
    <w:rsid w:val="00BB5438"/>
    <w:rsid w:val="00BC2850"/>
    <w:rsid w:val="00BC28CD"/>
    <w:rsid w:val="00BC428F"/>
    <w:rsid w:val="00BD39D1"/>
    <w:rsid w:val="00BD604C"/>
    <w:rsid w:val="00BE03F9"/>
    <w:rsid w:val="00BE06A2"/>
    <w:rsid w:val="00BE0AAF"/>
    <w:rsid w:val="00BF3AF2"/>
    <w:rsid w:val="00BF56C8"/>
    <w:rsid w:val="00BF7BCB"/>
    <w:rsid w:val="00C01363"/>
    <w:rsid w:val="00C11278"/>
    <w:rsid w:val="00C133AE"/>
    <w:rsid w:val="00C339DB"/>
    <w:rsid w:val="00C61CA7"/>
    <w:rsid w:val="00C65E5C"/>
    <w:rsid w:val="00C75701"/>
    <w:rsid w:val="00C819B9"/>
    <w:rsid w:val="00C92D49"/>
    <w:rsid w:val="00C92E29"/>
    <w:rsid w:val="00C9412E"/>
    <w:rsid w:val="00CA55C3"/>
    <w:rsid w:val="00CD0B92"/>
    <w:rsid w:val="00CE2249"/>
    <w:rsid w:val="00CE66E8"/>
    <w:rsid w:val="00CE6FD0"/>
    <w:rsid w:val="00D01FA2"/>
    <w:rsid w:val="00D05A33"/>
    <w:rsid w:val="00D31A58"/>
    <w:rsid w:val="00D34FB9"/>
    <w:rsid w:val="00D368C8"/>
    <w:rsid w:val="00D51738"/>
    <w:rsid w:val="00D55306"/>
    <w:rsid w:val="00D628AC"/>
    <w:rsid w:val="00D82E6E"/>
    <w:rsid w:val="00D91001"/>
    <w:rsid w:val="00DB5698"/>
    <w:rsid w:val="00DC580B"/>
    <w:rsid w:val="00DD773D"/>
    <w:rsid w:val="00DF4C92"/>
    <w:rsid w:val="00DF697C"/>
    <w:rsid w:val="00DF79E3"/>
    <w:rsid w:val="00E047A1"/>
    <w:rsid w:val="00E05F99"/>
    <w:rsid w:val="00E1404A"/>
    <w:rsid w:val="00E3394B"/>
    <w:rsid w:val="00E4218B"/>
    <w:rsid w:val="00E42A5E"/>
    <w:rsid w:val="00E437AC"/>
    <w:rsid w:val="00E57B91"/>
    <w:rsid w:val="00E80331"/>
    <w:rsid w:val="00E93B84"/>
    <w:rsid w:val="00EA396F"/>
    <w:rsid w:val="00EA50A9"/>
    <w:rsid w:val="00EA526D"/>
    <w:rsid w:val="00EA56C6"/>
    <w:rsid w:val="00EF282B"/>
    <w:rsid w:val="00F00C3E"/>
    <w:rsid w:val="00F03300"/>
    <w:rsid w:val="00F1401F"/>
    <w:rsid w:val="00F2444F"/>
    <w:rsid w:val="00F27374"/>
    <w:rsid w:val="00F33163"/>
    <w:rsid w:val="00F35420"/>
    <w:rsid w:val="00F4110B"/>
    <w:rsid w:val="00F47C44"/>
    <w:rsid w:val="00F50C96"/>
    <w:rsid w:val="00F664B8"/>
    <w:rsid w:val="00F721BD"/>
    <w:rsid w:val="00F82124"/>
    <w:rsid w:val="00F87C52"/>
    <w:rsid w:val="00F92F6C"/>
    <w:rsid w:val="00FA0AE7"/>
    <w:rsid w:val="00FA1C3D"/>
    <w:rsid w:val="00FB19A4"/>
    <w:rsid w:val="00FB3F80"/>
    <w:rsid w:val="00FC1B39"/>
    <w:rsid w:val="00FE30DA"/>
    <w:rsid w:val="00FF0304"/>
    <w:rsid w:val="00FF068C"/>
    <w:rsid w:val="00FF636A"/>
    <w:rsid w:val="0532EE1D"/>
    <w:rsid w:val="2B1D4E4C"/>
    <w:rsid w:val="55D80E55"/>
    <w:rsid w:val="7FC309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9F935A8"/>
  <w15:chartTrackingRefBased/>
  <w15:docId w15:val="{93D6492F-9AA9-47C7-AC42-82080672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E7"/>
    <w:pPr>
      <w:spacing w:after="160" w:line="259" w:lineRule="auto"/>
    </w:pPr>
    <w:rPr>
      <w:sz w:val="22"/>
      <w:szCs w:val="22"/>
    </w:rPr>
  </w:style>
  <w:style w:type="paragraph" w:styleId="Heading1">
    <w:name w:val="heading 1"/>
    <w:basedOn w:val="Normal"/>
    <w:next w:val="Normal"/>
    <w:link w:val="Heading1Char"/>
    <w:uiPriority w:val="9"/>
    <w:qFormat/>
    <w:rsid w:val="0096650F"/>
    <w:pPr>
      <w:keepNext/>
      <w:keepLines/>
      <w:spacing w:before="400" w:after="40" w:line="240" w:lineRule="auto"/>
      <w:outlineLvl w:val="0"/>
    </w:pPr>
    <w:rPr>
      <w:rFonts w:ascii="Calibri Light" w:eastAsia="SimSun" w:hAnsi="Calibri Light"/>
      <w:color w:val="1F4E79"/>
      <w:sz w:val="44"/>
      <w:szCs w:val="36"/>
    </w:rPr>
  </w:style>
  <w:style w:type="paragraph" w:styleId="Heading2">
    <w:name w:val="heading 2"/>
    <w:basedOn w:val="Normal"/>
    <w:next w:val="Normal"/>
    <w:link w:val="Heading2Char"/>
    <w:uiPriority w:val="9"/>
    <w:semiHidden/>
    <w:unhideWhenUsed/>
    <w:qFormat/>
    <w:rsid w:val="00FA0AE7"/>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FA0AE7"/>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FA0AE7"/>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FA0AE7"/>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FA0AE7"/>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FA0AE7"/>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FA0AE7"/>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FA0AE7"/>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6A8"/>
    <w:pPr>
      <w:tabs>
        <w:tab w:val="center" w:pos="4320"/>
        <w:tab w:val="right" w:pos="8640"/>
      </w:tabs>
    </w:pPr>
  </w:style>
  <w:style w:type="character" w:customStyle="1" w:styleId="HeaderChar">
    <w:name w:val="Header Char"/>
    <w:link w:val="Header"/>
    <w:uiPriority w:val="99"/>
    <w:rsid w:val="00A646A8"/>
    <w:rPr>
      <w:sz w:val="24"/>
      <w:szCs w:val="24"/>
    </w:rPr>
  </w:style>
  <w:style w:type="paragraph" w:styleId="Footer">
    <w:name w:val="footer"/>
    <w:basedOn w:val="Normal"/>
    <w:link w:val="FooterChar"/>
    <w:uiPriority w:val="99"/>
    <w:unhideWhenUsed/>
    <w:rsid w:val="00A646A8"/>
    <w:pPr>
      <w:tabs>
        <w:tab w:val="center" w:pos="4320"/>
        <w:tab w:val="right" w:pos="8640"/>
      </w:tabs>
    </w:pPr>
  </w:style>
  <w:style w:type="character" w:customStyle="1" w:styleId="FooterChar">
    <w:name w:val="Footer Char"/>
    <w:link w:val="Footer"/>
    <w:uiPriority w:val="99"/>
    <w:rsid w:val="00A646A8"/>
    <w:rPr>
      <w:sz w:val="24"/>
      <w:szCs w:val="24"/>
    </w:rPr>
  </w:style>
  <w:style w:type="character" w:customStyle="1" w:styleId="BalloonTextChar">
    <w:name w:val="Balloon Text Char"/>
    <w:link w:val="BalloonText"/>
    <w:uiPriority w:val="99"/>
    <w:semiHidden/>
    <w:rsid w:val="00C66B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66B10"/>
    <w:rPr>
      <w:rFonts w:ascii="Tahoma" w:hAnsi="Tahoma" w:cs="Tahoma"/>
      <w:sz w:val="16"/>
      <w:szCs w:val="16"/>
    </w:rPr>
  </w:style>
  <w:style w:type="character" w:customStyle="1" w:styleId="CommentTextChar">
    <w:name w:val="Comment Text Char"/>
    <w:link w:val="CommentText"/>
    <w:uiPriority w:val="99"/>
    <w:rsid w:val="00C66B10"/>
    <w:rPr>
      <w:rFonts w:ascii="Times New Roman" w:eastAsia="Times New Roman" w:hAnsi="Times New Roman"/>
    </w:rPr>
  </w:style>
  <w:style w:type="paragraph" w:styleId="CommentText">
    <w:name w:val="annotation text"/>
    <w:basedOn w:val="Normal"/>
    <w:link w:val="CommentTextChar"/>
    <w:uiPriority w:val="99"/>
    <w:unhideWhenUsed/>
    <w:rsid w:val="00C66B10"/>
    <w:rPr>
      <w:rFonts w:ascii="Times New Roman" w:hAnsi="Times New Roman"/>
      <w:sz w:val="20"/>
      <w:szCs w:val="20"/>
    </w:rPr>
  </w:style>
  <w:style w:type="character" w:customStyle="1" w:styleId="CommentSubjectChar">
    <w:name w:val="Comment Subject Char"/>
    <w:link w:val="CommentSubject"/>
    <w:uiPriority w:val="99"/>
    <w:semiHidden/>
    <w:rsid w:val="00C66B10"/>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C66B10"/>
    <w:rPr>
      <w:b/>
      <w:bCs/>
    </w:rPr>
  </w:style>
  <w:style w:type="paragraph" w:customStyle="1" w:styleId="ColorfulShading-Accent11">
    <w:name w:val="Colorful Shading - Accent 11"/>
    <w:hidden/>
    <w:uiPriority w:val="99"/>
    <w:semiHidden/>
    <w:rsid w:val="00C66B10"/>
    <w:pPr>
      <w:spacing w:after="160" w:line="259" w:lineRule="auto"/>
    </w:pPr>
    <w:rPr>
      <w:rFonts w:ascii="Times New Roman" w:hAnsi="Times New Roman"/>
      <w:sz w:val="24"/>
      <w:szCs w:val="24"/>
    </w:rPr>
  </w:style>
  <w:style w:type="paragraph" w:customStyle="1" w:styleId="Default">
    <w:name w:val="Default"/>
    <w:rsid w:val="00C66B10"/>
    <w:pPr>
      <w:autoSpaceDE w:val="0"/>
      <w:autoSpaceDN w:val="0"/>
      <w:adjustRightInd w:val="0"/>
      <w:spacing w:after="160" w:line="259" w:lineRule="auto"/>
    </w:pPr>
    <w:rPr>
      <w:rFonts w:ascii="Times New Roman" w:hAnsi="Times New Roman"/>
      <w:color w:val="000000"/>
      <w:sz w:val="24"/>
      <w:szCs w:val="24"/>
    </w:rPr>
  </w:style>
  <w:style w:type="character" w:styleId="Hyperlink">
    <w:name w:val="Hyperlink"/>
    <w:uiPriority w:val="99"/>
    <w:unhideWhenUsed/>
    <w:rsid w:val="00F03300"/>
    <w:rPr>
      <w:color w:val="0000FF"/>
      <w:u w:val="single"/>
    </w:rPr>
  </w:style>
  <w:style w:type="character" w:customStyle="1" w:styleId="Heading1Char">
    <w:name w:val="Heading 1 Char"/>
    <w:link w:val="Heading1"/>
    <w:uiPriority w:val="9"/>
    <w:rsid w:val="0096650F"/>
    <w:rPr>
      <w:rFonts w:ascii="Calibri Light" w:eastAsia="SimSun" w:hAnsi="Calibri Light"/>
      <w:color w:val="1F4E79"/>
      <w:sz w:val="44"/>
      <w:szCs w:val="36"/>
    </w:rPr>
  </w:style>
  <w:style w:type="paragraph" w:styleId="Title">
    <w:name w:val="Title"/>
    <w:basedOn w:val="Normal"/>
    <w:next w:val="Normal"/>
    <w:link w:val="TitleChar"/>
    <w:uiPriority w:val="10"/>
    <w:qFormat/>
    <w:rsid w:val="00FA0AE7"/>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FA0AE7"/>
    <w:rPr>
      <w:rFonts w:ascii="Calibri Light" w:eastAsia="SimSun" w:hAnsi="Calibri Light" w:cs="Times New Roman"/>
      <w:caps/>
      <w:color w:val="44546A"/>
      <w:spacing w:val="-15"/>
      <w:sz w:val="72"/>
      <w:szCs w:val="72"/>
    </w:rPr>
  </w:style>
  <w:style w:type="paragraph" w:styleId="ListParagraph">
    <w:name w:val="List Paragraph"/>
    <w:basedOn w:val="Normal"/>
    <w:uiPriority w:val="34"/>
    <w:qFormat/>
    <w:rsid w:val="008B7400"/>
    <w:pPr>
      <w:ind w:left="720"/>
      <w:contextualSpacing/>
    </w:pPr>
  </w:style>
  <w:style w:type="character" w:customStyle="1" w:styleId="Heading2Char">
    <w:name w:val="Heading 2 Char"/>
    <w:link w:val="Heading2"/>
    <w:uiPriority w:val="9"/>
    <w:semiHidden/>
    <w:rsid w:val="00FA0AE7"/>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A0AE7"/>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FA0AE7"/>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A0AE7"/>
    <w:rPr>
      <w:rFonts w:ascii="Calibri Light" w:eastAsia="SimSun" w:hAnsi="Calibri Light" w:cs="Times New Roman"/>
      <w:caps/>
      <w:color w:val="2E74B5"/>
    </w:rPr>
  </w:style>
  <w:style w:type="character" w:customStyle="1" w:styleId="Heading6Char">
    <w:name w:val="Heading 6 Char"/>
    <w:link w:val="Heading6"/>
    <w:uiPriority w:val="9"/>
    <w:semiHidden/>
    <w:rsid w:val="00FA0AE7"/>
    <w:rPr>
      <w:rFonts w:ascii="Calibri Light" w:eastAsia="SimSun" w:hAnsi="Calibri Light" w:cs="Times New Roman"/>
      <w:i/>
      <w:iCs/>
      <w:caps/>
      <w:color w:val="1F4E79"/>
    </w:rPr>
  </w:style>
  <w:style w:type="character" w:customStyle="1" w:styleId="Heading7Char">
    <w:name w:val="Heading 7 Char"/>
    <w:link w:val="Heading7"/>
    <w:uiPriority w:val="9"/>
    <w:semiHidden/>
    <w:rsid w:val="00FA0AE7"/>
    <w:rPr>
      <w:rFonts w:ascii="Calibri Light" w:eastAsia="SimSun" w:hAnsi="Calibri Light" w:cs="Times New Roman"/>
      <w:b/>
      <w:bCs/>
      <w:color w:val="1F4E79"/>
    </w:rPr>
  </w:style>
  <w:style w:type="character" w:customStyle="1" w:styleId="Heading8Char">
    <w:name w:val="Heading 8 Char"/>
    <w:link w:val="Heading8"/>
    <w:uiPriority w:val="9"/>
    <w:semiHidden/>
    <w:rsid w:val="00FA0AE7"/>
    <w:rPr>
      <w:rFonts w:ascii="Calibri Light" w:eastAsia="SimSun" w:hAnsi="Calibri Light" w:cs="Times New Roman"/>
      <w:b/>
      <w:bCs/>
      <w:i/>
      <w:iCs/>
      <w:color w:val="1F4E79"/>
    </w:rPr>
  </w:style>
  <w:style w:type="character" w:customStyle="1" w:styleId="Heading9Char">
    <w:name w:val="Heading 9 Char"/>
    <w:link w:val="Heading9"/>
    <w:uiPriority w:val="9"/>
    <w:semiHidden/>
    <w:rsid w:val="00FA0AE7"/>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A0AE7"/>
    <w:pPr>
      <w:spacing w:line="240" w:lineRule="auto"/>
    </w:pPr>
    <w:rPr>
      <w:b/>
      <w:bCs/>
      <w:smallCaps/>
      <w:color w:val="44546A"/>
    </w:rPr>
  </w:style>
  <w:style w:type="paragraph" w:styleId="Subtitle">
    <w:name w:val="Subtitle"/>
    <w:basedOn w:val="Normal"/>
    <w:next w:val="Normal"/>
    <w:link w:val="SubtitleChar"/>
    <w:uiPriority w:val="11"/>
    <w:qFormat/>
    <w:rsid w:val="0096650F"/>
    <w:pPr>
      <w:numPr>
        <w:ilvl w:val="1"/>
      </w:numPr>
      <w:spacing w:after="120" w:line="240" w:lineRule="auto"/>
    </w:pPr>
    <w:rPr>
      <w:rFonts w:ascii="Calibri Light" w:eastAsia="SimSun" w:hAnsi="Calibri Light"/>
      <w:color w:val="C45911" w:themeColor="accent2" w:themeShade="BF"/>
      <w:sz w:val="28"/>
      <w:szCs w:val="28"/>
    </w:rPr>
  </w:style>
  <w:style w:type="character" w:customStyle="1" w:styleId="SubtitleChar">
    <w:name w:val="Subtitle Char"/>
    <w:link w:val="Subtitle"/>
    <w:uiPriority w:val="11"/>
    <w:rsid w:val="0096650F"/>
    <w:rPr>
      <w:rFonts w:ascii="Calibri Light" w:eastAsia="SimSun" w:hAnsi="Calibri Light"/>
      <w:color w:val="C45911" w:themeColor="accent2" w:themeShade="BF"/>
      <w:sz w:val="28"/>
      <w:szCs w:val="28"/>
    </w:rPr>
  </w:style>
  <w:style w:type="character" w:styleId="Strong">
    <w:name w:val="Strong"/>
    <w:uiPriority w:val="22"/>
    <w:qFormat/>
    <w:rsid w:val="00FA0AE7"/>
    <w:rPr>
      <w:b/>
      <w:bCs/>
    </w:rPr>
  </w:style>
  <w:style w:type="character" w:styleId="Emphasis">
    <w:name w:val="Emphasis"/>
    <w:uiPriority w:val="20"/>
    <w:qFormat/>
    <w:rsid w:val="00FA0AE7"/>
    <w:rPr>
      <w:i/>
      <w:iCs/>
    </w:rPr>
  </w:style>
  <w:style w:type="paragraph" w:styleId="NoSpacing">
    <w:name w:val="No Spacing"/>
    <w:uiPriority w:val="1"/>
    <w:qFormat/>
    <w:rsid w:val="00FA0AE7"/>
    <w:rPr>
      <w:sz w:val="22"/>
      <w:szCs w:val="22"/>
    </w:rPr>
  </w:style>
  <w:style w:type="paragraph" w:styleId="Quote">
    <w:name w:val="Quote"/>
    <w:basedOn w:val="Normal"/>
    <w:next w:val="Normal"/>
    <w:link w:val="QuoteChar"/>
    <w:uiPriority w:val="29"/>
    <w:qFormat/>
    <w:rsid w:val="00FA0AE7"/>
    <w:pPr>
      <w:spacing w:before="120" w:after="120"/>
      <w:ind w:left="720"/>
    </w:pPr>
    <w:rPr>
      <w:color w:val="44546A"/>
      <w:sz w:val="24"/>
      <w:szCs w:val="24"/>
    </w:rPr>
  </w:style>
  <w:style w:type="character" w:customStyle="1" w:styleId="QuoteChar">
    <w:name w:val="Quote Char"/>
    <w:link w:val="Quote"/>
    <w:uiPriority w:val="29"/>
    <w:rsid w:val="00FA0AE7"/>
    <w:rPr>
      <w:color w:val="44546A"/>
      <w:sz w:val="24"/>
      <w:szCs w:val="24"/>
    </w:rPr>
  </w:style>
  <w:style w:type="paragraph" w:styleId="IntenseQuote">
    <w:name w:val="Intense Quote"/>
    <w:basedOn w:val="Normal"/>
    <w:next w:val="Normal"/>
    <w:link w:val="IntenseQuoteChar"/>
    <w:uiPriority w:val="30"/>
    <w:qFormat/>
    <w:rsid w:val="00FA0AE7"/>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FA0AE7"/>
    <w:rPr>
      <w:rFonts w:ascii="Calibri Light" w:eastAsia="SimSun" w:hAnsi="Calibri Light" w:cs="Times New Roman"/>
      <w:color w:val="44546A"/>
      <w:spacing w:val="-6"/>
      <w:sz w:val="32"/>
      <w:szCs w:val="32"/>
    </w:rPr>
  </w:style>
  <w:style w:type="character" w:styleId="SubtleEmphasis">
    <w:name w:val="Subtle Emphasis"/>
    <w:uiPriority w:val="19"/>
    <w:qFormat/>
    <w:rsid w:val="00FA0AE7"/>
    <w:rPr>
      <w:i/>
      <w:iCs/>
      <w:color w:val="595959"/>
    </w:rPr>
  </w:style>
  <w:style w:type="character" w:styleId="IntenseEmphasis">
    <w:name w:val="Intense Emphasis"/>
    <w:uiPriority w:val="21"/>
    <w:qFormat/>
    <w:rsid w:val="00FA0AE7"/>
    <w:rPr>
      <w:b/>
      <w:bCs/>
      <w:i/>
      <w:iCs/>
    </w:rPr>
  </w:style>
  <w:style w:type="character" w:styleId="SubtleReference">
    <w:name w:val="Subtle Reference"/>
    <w:uiPriority w:val="31"/>
    <w:qFormat/>
    <w:rsid w:val="00FA0AE7"/>
    <w:rPr>
      <w:smallCaps/>
      <w:color w:val="595959"/>
      <w:u w:val="none" w:color="7F7F7F"/>
      <w:bdr w:val="none" w:sz="0" w:space="0" w:color="auto"/>
    </w:rPr>
  </w:style>
  <w:style w:type="character" w:styleId="IntenseReference">
    <w:name w:val="Intense Reference"/>
    <w:uiPriority w:val="32"/>
    <w:qFormat/>
    <w:rsid w:val="00FA0AE7"/>
    <w:rPr>
      <w:b/>
      <w:bCs/>
      <w:smallCaps/>
      <w:color w:val="44546A"/>
      <w:u w:val="single"/>
    </w:rPr>
  </w:style>
  <w:style w:type="character" w:styleId="BookTitle">
    <w:name w:val="Book Title"/>
    <w:uiPriority w:val="33"/>
    <w:qFormat/>
    <w:rsid w:val="00FA0AE7"/>
    <w:rPr>
      <w:b/>
      <w:bCs/>
      <w:smallCaps/>
      <w:spacing w:val="10"/>
    </w:rPr>
  </w:style>
  <w:style w:type="paragraph" w:styleId="TOCHeading">
    <w:name w:val="TOC Heading"/>
    <w:basedOn w:val="Heading1"/>
    <w:next w:val="Normal"/>
    <w:uiPriority w:val="39"/>
    <w:unhideWhenUsed/>
    <w:qFormat/>
    <w:rsid w:val="00FA0AE7"/>
    <w:pPr>
      <w:outlineLvl w:val="9"/>
    </w:pPr>
  </w:style>
  <w:style w:type="paragraph" w:styleId="Revision">
    <w:name w:val="Revision"/>
    <w:hidden/>
    <w:uiPriority w:val="71"/>
    <w:rsid w:val="003C4063"/>
    <w:rPr>
      <w:sz w:val="22"/>
      <w:szCs w:val="22"/>
    </w:rPr>
  </w:style>
  <w:style w:type="character" w:styleId="UnresolvedMention">
    <w:name w:val="Unresolved Mention"/>
    <w:uiPriority w:val="99"/>
    <w:semiHidden/>
    <w:unhideWhenUsed/>
    <w:rsid w:val="00A2646E"/>
    <w:rPr>
      <w:color w:val="605E5C"/>
      <w:shd w:val="clear" w:color="auto" w:fill="E1DFDD"/>
    </w:rPr>
  </w:style>
  <w:style w:type="character" w:styleId="CommentReference">
    <w:name w:val="annotation reference"/>
    <w:uiPriority w:val="99"/>
    <w:semiHidden/>
    <w:unhideWhenUsed/>
    <w:rsid w:val="000950B6"/>
    <w:rPr>
      <w:sz w:val="16"/>
      <w:szCs w:val="16"/>
    </w:rPr>
  </w:style>
  <w:style w:type="paragraph" w:styleId="TOC1">
    <w:name w:val="toc 1"/>
    <w:basedOn w:val="Normal"/>
    <w:next w:val="Normal"/>
    <w:autoRedefine/>
    <w:uiPriority w:val="39"/>
    <w:unhideWhenUsed/>
    <w:rsid w:val="008326F8"/>
    <w:pPr>
      <w:tabs>
        <w:tab w:val="right" w:leader="dot" w:pos="9350"/>
      </w:tabs>
    </w:pPr>
  </w:style>
  <w:style w:type="paragraph" w:styleId="FootnoteText">
    <w:name w:val="footnote text"/>
    <w:basedOn w:val="Normal"/>
    <w:link w:val="FootnoteTextChar"/>
    <w:uiPriority w:val="99"/>
    <w:semiHidden/>
    <w:unhideWhenUsed/>
    <w:rsid w:val="00974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D6D"/>
  </w:style>
  <w:style w:type="character" w:styleId="FootnoteReference">
    <w:name w:val="footnote reference"/>
    <w:basedOn w:val="DefaultParagraphFont"/>
    <w:uiPriority w:val="99"/>
    <w:semiHidden/>
    <w:unhideWhenUsed/>
    <w:rsid w:val="00974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984">
      <w:bodyDiv w:val="1"/>
      <w:marLeft w:val="0"/>
      <w:marRight w:val="0"/>
      <w:marTop w:val="0"/>
      <w:marBottom w:val="0"/>
      <w:divBdr>
        <w:top w:val="none" w:sz="0" w:space="0" w:color="auto"/>
        <w:left w:val="none" w:sz="0" w:space="0" w:color="auto"/>
        <w:bottom w:val="none" w:sz="0" w:space="0" w:color="auto"/>
        <w:right w:val="none" w:sz="0" w:space="0" w:color="auto"/>
      </w:divBdr>
    </w:div>
    <w:div w:id="152987603">
      <w:bodyDiv w:val="1"/>
      <w:marLeft w:val="0"/>
      <w:marRight w:val="0"/>
      <w:marTop w:val="0"/>
      <w:marBottom w:val="0"/>
      <w:divBdr>
        <w:top w:val="none" w:sz="0" w:space="0" w:color="auto"/>
        <w:left w:val="none" w:sz="0" w:space="0" w:color="auto"/>
        <w:bottom w:val="none" w:sz="0" w:space="0" w:color="auto"/>
        <w:right w:val="none" w:sz="0" w:space="0" w:color="auto"/>
      </w:divBdr>
    </w:div>
    <w:div w:id="285697974">
      <w:bodyDiv w:val="1"/>
      <w:marLeft w:val="0"/>
      <w:marRight w:val="0"/>
      <w:marTop w:val="0"/>
      <w:marBottom w:val="0"/>
      <w:divBdr>
        <w:top w:val="none" w:sz="0" w:space="0" w:color="auto"/>
        <w:left w:val="none" w:sz="0" w:space="0" w:color="auto"/>
        <w:bottom w:val="none" w:sz="0" w:space="0" w:color="auto"/>
        <w:right w:val="none" w:sz="0" w:space="0" w:color="auto"/>
      </w:divBdr>
    </w:div>
    <w:div w:id="390544367">
      <w:bodyDiv w:val="1"/>
      <w:marLeft w:val="0"/>
      <w:marRight w:val="0"/>
      <w:marTop w:val="0"/>
      <w:marBottom w:val="0"/>
      <w:divBdr>
        <w:top w:val="none" w:sz="0" w:space="0" w:color="auto"/>
        <w:left w:val="none" w:sz="0" w:space="0" w:color="auto"/>
        <w:bottom w:val="none" w:sz="0" w:space="0" w:color="auto"/>
        <w:right w:val="none" w:sz="0" w:space="0" w:color="auto"/>
      </w:divBdr>
    </w:div>
    <w:div w:id="400063849">
      <w:bodyDiv w:val="1"/>
      <w:marLeft w:val="0"/>
      <w:marRight w:val="0"/>
      <w:marTop w:val="0"/>
      <w:marBottom w:val="0"/>
      <w:divBdr>
        <w:top w:val="none" w:sz="0" w:space="0" w:color="auto"/>
        <w:left w:val="none" w:sz="0" w:space="0" w:color="auto"/>
        <w:bottom w:val="none" w:sz="0" w:space="0" w:color="auto"/>
        <w:right w:val="none" w:sz="0" w:space="0" w:color="auto"/>
      </w:divBdr>
    </w:div>
    <w:div w:id="529950405">
      <w:bodyDiv w:val="1"/>
      <w:marLeft w:val="0"/>
      <w:marRight w:val="0"/>
      <w:marTop w:val="0"/>
      <w:marBottom w:val="0"/>
      <w:divBdr>
        <w:top w:val="none" w:sz="0" w:space="0" w:color="auto"/>
        <w:left w:val="none" w:sz="0" w:space="0" w:color="auto"/>
        <w:bottom w:val="none" w:sz="0" w:space="0" w:color="auto"/>
        <w:right w:val="none" w:sz="0" w:space="0" w:color="auto"/>
      </w:divBdr>
    </w:div>
    <w:div w:id="571356584">
      <w:bodyDiv w:val="1"/>
      <w:marLeft w:val="0"/>
      <w:marRight w:val="0"/>
      <w:marTop w:val="0"/>
      <w:marBottom w:val="0"/>
      <w:divBdr>
        <w:top w:val="none" w:sz="0" w:space="0" w:color="auto"/>
        <w:left w:val="none" w:sz="0" w:space="0" w:color="auto"/>
        <w:bottom w:val="none" w:sz="0" w:space="0" w:color="auto"/>
        <w:right w:val="none" w:sz="0" w:space="0" w:color="auto"/>
      </w:divBdr>
    </w:div>
    <w:div w:id="595404864">
      <w:bodyDiv w:val="1"/>
      <w:marLeft w:val="0"/>
      <w:marRight w:val="0"/>
      <w:marTop w:val="0"/>
      <w:marBottom w:val="0"/>
      <w:divBdr>
        <w:top w:val="none" w:sz="0" w:space="0" w:color="auto"/>
        <w:left w:val="none" w:sz="0" w:space="0" w:color="auto"/>
        <w:bottom w:val="none" w:sz="0" w:space="0" w:color="auto"/>
        <w:right w:val="none" w:sz="0" w:space="0" w:color="auto"/>
      </w:divBdr>
    </w:div>
    <w:div w:id="740979903">
      <w:bodyDiv w:val="1"/>
      <w:marLeft w:val="0"/>
      <w:marRight w:val="0"/>
      <w:marTop w:val="0"/>
      <w:marBottom w:val="0"/>
      <w:divBdr>
        <w:top w:val="none" w:sz="0" w:space="0" w:color="auto"/>
        <w:left w:val="none" w:sz="0" w:space="0" w:color="auto"/>
        <w:bottom w:val="none" w:sz="0" w:space="0" w:color="auto"/>
        <w:right w:val="none" w:sz="0" w:space="0" w:color="auto"/>
      </w:divBdr>
    </w:div>
    <w:div w:id="936861662">
      <w:bodyDiv w:val="1"/>
      <w:marLeft w:val="0"/>
      <w:marRight w:val="0"/>
      <w:marTop w:val="0"/>
      <w:marBottom w:val="0"/>
      <w:divBdr>
        <w:top w:val="none" w:sz="0" w:space="0" w:color="auto"/>
        <w:left w:val="none" w:sz="0" w:space="0" w:color="auto"/>
        <w:bottom w:val="none" w:sz="0" w:space="0" w:color="auto"/>
        <w:right w:val="none" w:sz="0" w:space="0" w:color="auto"/>
      </w:divBdr>
    </w:div>
    <w:div w:id="1015116603">
      <w:bodyDiv w:val="1"/>
      <w:marLeft w:val="0"/>
      <w:marRight w:val="0"/>
      <w:marTop w:val="0"/>
      <w:marBottom w:val="0"/>
      <w:divBdr>
        <w:top w:val="none" w:sz="0" w:space="0" w:color="auto"/>
        <w:left w:val="none" w:sz="0" w:space="0" w:color="auto"/>
        <w:bottom w:val="none" w:sz="0" w:space="0" w:color="auto"/>
        <w:right w:val="none" w:sz="0" w:space="0" w:color="auto"/>
      </w:divBdr>
    </w:div>
    <w:div w:id="1076319933">
      <w:bodyDiv w:val="1"/>
      <w:marLeft w:val="0"/>
      <w:marRight w:val="0"/>
      <w:marTop w:val="0"/>
      <w:marBottom w:val="0"/>
      <w:divBdr>
        <w:top w:val="none" w:sz="0" w:space="0" w:color="auto"/>
        <w:left w:val="none" w:sz="0" w:space="0" w:color="auto"/>
        <w:bottom w:val="none" w:sz="0" w:space="0" w:color="auto"/>
        <w:right w:val="none" w:sz="0" w:space="0" w:color="auto"/>
      </w:divBdr>
    </w:div>
    <w:div w:id="1164206512">
      <w:bodyDiv w:val="1"/>
      <w:marLeft w:val="0"/>
      <w:marRight w:val="0"/>
      <w:marTop w:val="0"/>
      <w:marBottom w:val="0"/>
      <w:divBdr>
        <w:top w:val="none" w:sz="0" w:space="0" w:color="auto"/>
        <w:left w:val="none" w:sz="0" w:space="0" w:color="auto"/>
        <w:bottom w:val="none" w:sz="0" w:space="0" w:color="auto"/>
        <w:right w:val="none" w:sz="0" w:space="0" w:color="auto"/>
      </w:divBdr>
    </w:div>
    <w:div w:id="1293096898">
      <w:bodyDiv w:val="1"/>
      <w:marLeft w:val="0"/>
      <w:marRight w:val="0"/>
      <w:marTop w:val="0"/>
      <w:marBottom w:val="0"/>
      <w:divBdr>
        <w:top w:val="none" w:sz="0" w:space="0" w:color="auto"/>
        <w:left w:val="none" w:sz="0" w:space="0" w:color="auto"/>
        <w:bottom w:val="none" w:sz="0" w:space="0" w:color="auto"/>
        <w:right w:val="none" w:sz="0" w:space="0" w:color="auto"/>
      </w:divBdr>
    </w:div>
    <w:div w:id="1683556510">
      <w:bodyDiv w:val="1"/>
      <w:marLeft w:val="0"/>
      <w:marRight w:val="0"/>
      <w:marTop w:val="0"/>
      <w:marBottom w:val="0"/>
      <w:divBdr>
        <w:top w:val="none" w:sz="0" w:space="0" w:color="auto"/>
        <w:left w:val="none" w:sz="0" w:space="0" w:color="auto"/>
        <w:bottom w:val="none" w:sz="0" w:space="0" w:color="auto"/>
        <w:right w:val="none" w:sz="0" w:space="0" w:color="auto"/>
      </w:divBdr>
    </w:div>
    <w:div w:id="2020934510">
      <w:bodyDiv w:val="1"/>
      <w:marLeft w:val="0"/>
      <w:marRight w:val="0"/>
      <w:marTop w:val="0"/>
      <w:marBottom w:val="0"/>
      <w:divBdr>
        <w:top w:val="none" w:sz="0" w:space="0" w:color="auto"/>
        <w:left w:val="none" w:sz="0" w:space="0" w:color="auto"/>
        <w:bottom w:val="none" w:sz="0" w:space="0" w:color="auto"/>
        <w:right w:val="none" w:sz="0" w:space="0" w:color="auto"/>
      </w:divBdr>
    </w:div>
    <w:div w:id="2036881956">
      <w:bodyDiv w:val="1"/>
      <w:marLeft w:val="0"/>
      <w:marRight w:val="0"/>
      <w:marTop w:val="0"/>
      <w:marBottom w:val="0"/>
      <w:divBdr>
        <w:top w:val="none" w:sz="0" w:space="0" w:color="auto"/>
        <w:left w:val="none" w:sz="0" w:space="0" w:color="auto"/>
        <w:bottom w:val="none" w:sz="0" w:space="0" w:color="auto"/>
        <w:right w:val="none" w:sz="0" w:space="0" w:color="auto"/>
      </w:divBdr>
    </w:div>
    <w:div w:id="204702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D4F1-6B23-493B-8FB6-AF049E11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628</Words>
  <Characters>3365</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Company>Thinkdesign</Company>
  <LinksUpToDate>false</LinksUpToDate>
  <CharactersWithSpaces>3966</CharactersWithSpaces>
  <SharedDoc>false</SharedDoc>
  <HLinks>
    <vt:vector size="36" baseType="variant">
      <vt:variant>
        <vt:i4>1703988</vt:i4>
      </vt:variant>
      <vt:variant>
        <vt:i4>26</vt:i4>
      </vt:variant>
      <vt:variant>
        <vt:i4>0</vt:i4>
      </vt:variant>
      <vt:variant>
        <vt:i4>5</vt:i4>
      </vt:variant>
      <vt:variant>
        <vt:lpwstr/>
      </vt:variant>
      <vt:variant>
        <vt:lpwstr>_Toc105763692</vt:lpwstr>
      </vt:variant>
      <vt:variant>
        <vt:i4>1703988</vt:i4>
      </vt:variant>
      <vt:variant>
        <vt:i4>20</vt:i4>
      </vt:variant>
      <vt:variant>
        <vt:i4>0</vt:i4>
      </vt:variant>
      <vt:variant>
        <vt:i4>5</vt:i4>
      </vt:variant>
      <vt:variant>
        <vt:lpwstr/>
      </vt:variant>
      <vt:variant>
        <vt:lpwstr>_Toc105763691</vt:lpwstr>
      </vt:variant>
      <vt:variant>
        <vt:i4>1703988</vt:i4>
      </vt:variant>
      <vt:variant>
        <vt:i4>14</vt:i4>
      </vt:variant>
      <vt:variant>
        <vt:i4>0</vt:i4>
      </vt:variant>
      <vt:variant>
        <vt:i4>5</vt:i4>
      </vt:variant>
      <vt:variant>
        <vt:lpwstr/>
      </vt:variant>
      <vt:variant>
        <vt:lpwstr>_Toc105763690</vt:lpwstr>
      </vt:variant>
      <vt:variant>
        <vt:i4>1769524</vt:i4>
      </vt:variant>
      <vt:variant>
        <vt:i4>8</vt:i4>
      </vt:variant>
      <vt:variant>
        <vt:i4>0</vt:i4>
      </vt:variant>
      <vt:variant>
        <vt:i4>5</vt:i4>
      </vt:variant>
      <vt:variant>
        <vt:lpwstr/>
      </vt:variant>
      <vt:variant>
        <vt:lpwstr>_Toc105763689</vt:lpwstr>
      </vt:variant>
      <vt:variant>
        <vt:i4>1769524</vt:i4>
      </vt:variant>
      <vt:variant>
        <vt:i4>2</vt:i4>
      </vt:variant>
      <vt:variant>
        <vt:i4>0</vt:i4>
      </vt:variant>
      <vt:variant>
        <vt:i4>5</vt:i4>
      </vt:variant>
      <vt:variant>
        <vt:lpwstr/>
      </vt:variant>
      <vt:variant>
        <vt:lpwstr>_Toc105763688</vt:lpwstr>
      </vt:variant>
      <vt:variant>
        <vt:i4>6684782</vt:i4>
      </vt:variant>
      <vt:variant>
        <vt:i4>0</vt:i4>
      </vt:variant>
      <vt:variant>
        <vt:i4>0</vt:i4>
      </vt:variant>
      <vt:variant>
        <vt:i4>5</vt:i4>
      </vt:variant>
      <vt:variant>
        <vt:lpwstr>https://www.iamovers.org/AboutIAM/content.aspx?ItemNumber=1419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Gotschall</dc:creator>
  <cp:keywords/>
  <cp:lastModifiedBy>Ray daSilva</cp:lastModifiedBy>
  <cp:revision>25</cp:revision>
  <cp:lastPrinted>2011-09-26T16:23:00Z</cp:lastPrinted>
  <dcterms:created xsi:type="dcterms:W3CDTF">2023-09-28T20:07:00Z</dcterms:created>
  <dcterms:modified xsi:type="dcterms:W3CDTF">2026-06-16T19:43:00Z</dcterms:modified>
</cp:coreProperties>
</file>