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SUPERIOR COURT</w:t>
      </w:r>
      <w:r>
        <w:rPr>
          <w:sz w:val="22"/>
        </w:rPr>
        <w:br/>
        <w:t>(Commercial Division)</w:t>
      </w:r>
    </w:p>
    <w:p>
      <w:r>
        <w:t>CANADA</w:t>
        <w:br/>
        <w:t>PROVINCE OF QUEBEC</w:t>
        <w:br/>
        <w:t>DISTRICT OF MONTREAL</w:t>
        <w:br/>
        <w:br/>
        <w:t>No.: 500-11-067774-261</w:t>
        <w:br/>
        <w:t>DATE: October 2, 2026</w:t>
        <w:br/>
        <w:br/>
        <w:t>Presiding: Me VINCENT-MICHEL AUBE, Registrar (JA0858)</w:t>
      </w:r>
    </w:p>
    <w:p>
      <w:pPr>
        <w:jc w:val="center"/>
      </w:pPr>
      <w:r>
        <w:rPr>
          <w:b/>
        </w:rPr>
        <w:t>IN THE MATTER OF THE RECEIVERSHIP OF:</w:t>
      </w:r>
    </w:p>
    <w:p>
      <w:pPr>
        <w:jc w:val="center"/>
      </w:pPr>
      <w:r>
        <w:rPr>
          <w:b/>
        </w:rPr>
        <w:t>INTERNIC MOVING SERVICES INC.</w:t>
      </w:r>
    </w:p>
    <w:p>
      <w:pPr>
        <w:jc w:val="center"/>
      </w:pPr>
      <w:r>
        <w:rPr>
          <w:b w:val="0"/>
        </w:rPr>
        <w:t>-and-</w:t>
      </w:r>
    </w:p>
    <w:p>
      <w:pPr>
        <w:jc w:val="center"/>
      </w:pPr>
      <w:r>
        <w:rPr>
          <w:b/>
        </w:rPr>
        <w:t>BRYTOR INTERNATIONAL MOVING INC.</w:t>
      </w:r>
    </w:p>
    <w:p>
      <w:pPr>
        <w:jc w:val="center"/>
      </w:pPr>
      <w:r>
        <w:rPr>
          <w:b w:val="0"/>
        </w:rPr>
        <w:t>-and-</w:t>
      </w:r>
    </w:p>
    <w:p>
      <w:pPr>
        <w:jc w:val="center"/>
      </w:pPr>
      <w:r>
        <w:rPr>
          <w:b/>
        </w:rPr>
        <w:t>INTERNIC PACKAGING INC.</w:t>
      </w:r>
    </w:p>
    <w:p>
      <w:pPr>
        <w:jc w:val="center"/>
      </w:pPr>
      <w:r>
        <w:rPr>
          <w:b w:val="0"/>
        </w:rPr>
        <w:t>Debtors</w:t>
      </w:r>
    </w:p>
    <w:p>
      <w:pPr>
        <w:jc w:val="center"/>
      </w:pPr>
      <w:r>
        <w:rPr>
          <w:b w:val="0"/>
        </w:rPr>
        <w:t>-and-</w:t>
      </w:r>
    </w:p>
    <w:p>
      <w:pPr>
        <w:jc w:val="center"/>
      </w:pPr>
      <w:r>
        <w:rPr>
          <w:b/>
        </w:rPr>
        <w:t>ROYAL BANK OF CANADA</w:t>
      </w:r>
    </w:p>
    <w:p>
      <w:pPr>
        <w:jc w:val="center"/>
      </w:pPr>
      <w:r>
        <w:rPr>
          <w:b w:val="0"/>
        </w:rPr>
        <w:t>Applicant</w:t>
      </w:r>
    </w:p>
    <w:p>
      <w:pPr>
        <w:jc w:val="center"/>
      </w:pPr>
      <w:r>
        <w:rPr>
          <w:b w:val="0"/>
        </w:rPr>
        <w:t>-and-</w:t>
      </w:r>
    </w:p>
    <w:p>
      <w:pPr>
        <w:jc w:val="center"/>
      </w:pPr>
      <w:r>
        <w:rPr>
          <w:b w:val="0"/>
        </w:rPr>
        <w:t>RAYMOND CHABOT INC. (Mr. Guillaume Landry CPA, CIRP, LIT, designated person in charge)</w:t>
      </w:r>
    </w:p>
    <w:p>
      <w:pPr>
        <w:jc w:val="center"/>
      </w:pPr>
      <w:r>
        <w:rPr>
          <w:b w:val="0"/>
        </w:rPr>
        <w:t>Receiver</w:t>
      </w:r>
    </w:p>
    <w:p>
      <w:pPr>
        <w:jc w:val="center"/>
      </w:pPr>
      <w:r>
        <w:rPr>
          <w:b/>
        </w:rPr>
        <w:t>ORDER APPOINTING A RECEIVER OVER THE PROPERTY OF THE DEBTORS</w:t>
        <w:br/>
        <w:t>INTERNIC MOVING SERVICES INC., BRYTOR INTERNATIONAL MOVING INC. AND INTERNIC PACKAGING INC.</w:t>
        <w:br/>
        <w:t>(Section 243 of the Bankruptcy and Insolvency Act)</w:t>
      </w:r>
    </w:p>
    <w:p>
      <w:r>
        <w:rPr>
          <w:b/>
        </w:rPr>
        <w:t xml:space="preserve">[1] </w:t>
      </w:r>
      <w:r>
        <w:t>THE COURT, having reviewed the Application for the appointment of a receiver over the property of the Debtors (the “Application”) pursuant to section 243 of the Bankruptcy and Insolvency Act (the “BIA”) presented by Royal Bank of Canada (the “Applicant”), the sworn declaration and the exhibits filed in support thereof;</w:t>
      </w:r>
    </w:p>
    <w:p>
      <w:r>
        <w:rPr>
          <w:b/>
        </w:rPr>
        <w:t xml:space="preserve">[2] </w:t>
      </w:r>
      <w:r>
        <w:t>CONSIDERING the service of the Application;</w:t>
      </w:r>
    </w:p>
    <w:p>
      <w:r>
        <w:rPr>
          <w:b/>
        </w:rPr>
        <w:t xml:space="preserve">[3] </w:t>
      </w:r>
      <w:r>
        <w:t>CONSIDERING the representations of counsel for the Applicant;</w:t>
      </w:r>
    </w:p>
    <w:p>
      <w:r>
        <w:rPr>
          <w:b/>
        </w:rPr>
        <w:t xml:space="preserve">[4] </w:t>
      </w:r>
      <w:r>
        <w:t>CONSIDERING the sending by the Applicant to the Debtors of a notice pursuant to section 244 of the BIA and various notices of exercise of hypothecary remedies pursuant to the provisions of the Civil Code of Quebec and other notices of termination and repossession and the expiry of the periods provided for in the various notices and prior notices;</w:t>
      </w:r>
    </w:p>
    <w:p>
      <w:r>
        <w:rPr>
          <w:b/>
        </w:rPr>
        <w:t xml:space="preserve">[5] </w:t>
      </w:r>
      <w:r>
        <w:t>CONSIDERING THAT Internic Moving Services Inc., Brytor International Inc. and Internic Packaging Inc. (collectively, the “Debtors”) signed an act of unconditional acquiescence to the application dated September 17, 2026 (the “Acquiescence”);</w:t>
      </w:r>
    </w:p>
    <w:p>
      <w:r>
        <w:rPr>
          <w:b/>
        </w:rPr>
        <w:t xml:space="preserve">[6] </w:t>
      </w:r>
      <w:r>
        <w:t>CONSIDERING the filing in the Court record of the Acquiescence by counsel for the Applicant in accordance with the terms of the agreement entered into between the parties;</w:t>
      </w:r>
    </w:p>
    <w:p>
      <w:r>
        <w:rPr>
          <w:b/>
        </w:rPr>
        <w:t xml:space="preserve">[7] </w:t>
      </w:r>
      <w:r>
        <w:t>CONSIDERING that it is appropriate to appoint a receiver over the Property (as hereinafter defined) of the Debtors;</w:t>
      </w:r>
    </w:p>
    <w:p>
      <w:pPr>
        <w:pStyle w:val="Heading1"/>
      </w:pPr>
      <w:r>
        <w:t>THEREFORE THE COURT:</w:t>
      </w:r>
    </w:p>
    <w:p>
      <w:r>
        <w:rPr>
          <w:b/>
        </w:rPr>
        <w:t xml:space="preserve">[8] </w:t>
      </w:r>
      <w:r>
        <w:t>GRANTS the Application;</w:t>
      </w:r>
    </w:p>
    <w:p>
      <w:pPr>
        <w:pStyle w:val="Heading1"/>
      </w:pPr>
      <w:r>
        <w:t>SERVICE</w:t>
      </w:r>
    </w:p>
    <w:p>
      <w:r>
        <w:rPr>
          <w:b/>
        </w:rPr>
        <w:t xml:space="preserve">[9] </w:t>
      </w:r>
      <w:r>
        <w:t>SHORTENS, if applicable, any presentation period relating to the presentation of the Application;</w:t>
      </w:r>
    </w:p>
    <w:p>
      <w:pPr>
        <w:pStyle w:val="Heading1"/>
      </w:pPr>
      <w:r>
        <w:t>APPOINTMENT</w:t>
      </w:r>
    </w:p>
    <w:p>
      <w:r>
        <w:rPr>
          <w:b/>
        </w:rPr>
        <w:t xml:space="preserve">[10] </w:t>
      </w:r>
      <w:r>
        <w:t>APPOINTS Raymond Chabot Inc. (Mr. Guillaume Landry CPA, CIRP, LIT, designated person in charge), trustee, to act as receiver (the “Receiver”) over the Property of the Debtors, until one of the following events occurs:</w:t>
      </w:r>
    </w:p>
    <w:p>
      <w:pPr>
        <w:ind w:left="504"/>
      </w:pPr>
      <w:r>
        <w:t>(a) the sale of all of the Property (as described below); or</w:t>
      </w:r>
    </w:p>
    <w:p>
      <w:pPr>
        <w:ind w:left="504"/>
      </w:pPr>
      <w:r>
        <w:t>(b) any order rendered by the Court terminating the mandate of the Receiver;</w:t>
      </w:r>
    </w:p>
    <w:p>
      <w:r>
        <w:rPr>
          <w:b/>
        </w:rPr>
        <w:t xml:space="preserve">[11] </w:t>
      </w:r>
      <w:r>
        <w:t>DECLARES that the order (the “Order”) and its effects shall survive the filing by the Debtors of a notice of intention to make a proposal or of a proposal under the BIA, the issuance of an initial order in respect of the Debtors made pursuant to the Companies’ Creditors Arrangement Act (the “CCAA”) or the bankruptcy of the Debtors, unless a specific order to the contrary is made by the Court.</w:t>
      </w:r>
    </w:p>
    <w:p>
      <w:pPr>
        <w:pStyle w:val="Heading1"/>
      </w:pPr>
      <w:r>
        <w:t>POWERS OF THE RECEIVER</w:t>
      </w:r>
    </w:p>
    <w:p>
      <w:r>
        <w:rPr>
          <w:b/>
        </w:rPr>
        <w:t xml:space="preserve">[12] </w:t>
      </w:r>
      <w:r>
        <w:t>AUTHORIZES the Receiver to exercise the following powers:</w:t>
      </w:r>
    </w:p>
    <w:p>
      <w:pPr>
        <w:pStyle w:val="Heading2"/>
      </w:pPr>
      <w:r>
        <w:t>10.1 Powers related to taking possession of the Property</w:t>
      </w:r>
    </w:p>
    <w:p>
      <w:r>
        <w:t>AUTHORIZES the Receiver to take possession of the property of the Debtors described below (the “Property”), without obligation to do so and in its sole discretion, and to exercise over it the powers listed below, where applicable, in the place and stead of the Debtors:</w:t>
      </w:r>
    </w:p>
    <w:p>
      <w:pPr>
        <w:ind w:left="504"/>
      </w:pPr>
      <w:r>
        <w:rPr>
          <w:b/>
        </w:rPr>
        <w:t xml:space="preserve">(a) </w:t>
      </w:r>
      <w:r>
        <w:t>all movable property of the Debtor, except property of customers or third parties in the possession of the Debtors, but including property subject to reservations of ownership in favour of the Applicant, in transit or elsewhere, of whatever nature, wherever and in whosoever hands it may be, including in particular all inventory, equipment, accounts receivable, claims, trademarks, and intellectual property;</w:t>
      </w:r>
    </w:p>
    <w:p>
      <w:pPr>
        <w:ind w:left="504"/>
      </w:pPr>
      <w:r>
        <w:rPr>
          <w:b/>
        </w:rPr>
        <w:t xml:space="preserve">(b) </w:t>
      </w:r>
      <w:r>
        <w:t>the proceeds and claims resulting from their disposition or rental;</w:t>
      </w:r>
    </w:p>
    <w:p>
      <w:pPr>
        <w:ind w:left="504"/>
      </w:pPr>
      <w:r>
        <w:rPr>
          <w:b/>
        </w:rPr>
        <w:t xml:space="preserve">(c) </w:t>
      </w:r>
      <w:r>
        <w:t>the fruits and revenues they produce, including insurance or expropriation indemnities arising therefrom;</w:t>
      </w:r>
    </w:p>
    <w:p>
      <w:pPr>
        <w:ind w:left="504"/>
      </w:pPr>
      <w:r>
        <w:rPr>
          <w:b/>
        </w:rPr>
        <w:t xml:space="preserve">(d) </w:t>
      </w:r>
      <w:r>
        <w:t>the rights, titles and documents, of whatever form or nature, relating thereto; and</w:t>
      </w:r>
    </w:p>
    <w:p>
      <w:pPr>
        <w:ind w:left="504"/>
      </w:pPr>
      <w:r>
        <w:rPr>
          <w:b/>
        </w:rPr>
        <w:t xml:space="preserve">(e) </w:t>
      </w:r>
      <w:r>
        <w:t>property replacing, renewing, substituting, adding to or transforming such property, including sums of money in lieu thereof;</w:t>
      </w:r>
    </w:p>
    <w:p>
      <w:pPr>
        <w:pStyle w:val="Heading2"/>
      </w:pPr>
      <w:r>
        <w:t>10.2 Powers related to preservation of the Property</w:t>
      </w:r>
    </w:p>
    <w:p>
      <w:pPr>
        <w:ind w:left="504"/>
      </w:pPr>
      <w:r>
        <w:rPr>
          <w:b/>
        </w:rPr>
        <w:t xml:space="preserve">(f) </w:t>
      </w:r>
      <w:r>
        <w:t>all powers necessary for the preservation and protection of the Property, including taking possession thereof, in its sole discretion and without obligation in that regard, where applicable;</w:t>
      </w:r>
    </w:p>
    <w:p>
      <w:pPr>
        <w:ind w:left="504"/>
      </w:pPr>
      <w:r>
        <w:rPr>
          <w:b/>
        </w:rPr>
        <w:t xml:space="preserve">(g) </w:t>
      </w:r>
      <w:r>
        <w:t>all powers necessary for the control of the Property and of all places of business and all premises occupied by the Debtors, in its sole discretion and without obligation in that regard, where applicable;</w:t>
      </w:r>
    </w:p>
    <w:p>
      <w:pPr>
        <w:ind w:left="504"/>
      </w:pPr>
      <w:r>
        <w:rPr>
          <w:b/>
        </w:rPr>
        <w:t xml:space="preserve">(h) </w:t>
      </w:r>
      <w:r>
        <w:t>all powers necessary to allow it access, at all times, to the places of business and premises of the Debtors, and to the Property, and to change the locks giving access to said premises and places of business of the Debtors, as well as the powers necessary to obtain the access codes for alarm and surveillance systems, remote computer access codes or to change the codes and terminate remote access and to redirect mail, in its sole discretion and without obligation in that regard, where applicable;</w:t>
      </w:r>
    </w:p>
    <w:p>
      <w:pPr>
        <w:ind w:left="504"/>
      </w:pPr>
      <w:r>
        <w:rPr>
          <w:b/>
        </w:rPr>
        <w:t xml:space="preserve">(i) </w:t>
      </w:r>
      <w:r>
        <w:t>all powers necessary to allow it access to all accounting books of the Debtors, as well as to any document, contract, register, of whatever nature, related to the operations of the Debtors or to the Property, wherever located and whatever the medium (the “Records”), as well as the powers necessary to make copies of all Records necessary or useful for the performance of its duties, in its sole discretion and without obligation in that regard;</w:t>
      </w:r>
    </w:p>
    <w:p>
      <w:pPr>
        <w:ind w:left="504"/>
      </w:pPr>
      <w:r>
        <w:rPr>
          <w:b/>
        </w:rPr>
        <w:t xml:space="preserve">(j) </w:t>
      </w:r>
      <w:r>
        <w:t>all powers necessary to carry out an analysis of the Records of the Debtors, in its sole discretion and without obligation;</w:t>
      </w:r>
    </w:p>
    <w:p>
      <w:pPr>
        <w:pStyle w:val="Heading2"/>
      </w:pPr>
      <w:r>
        <w:t>10.3 Powers related to the operations of the Debtors</w:t>
      </w:r>
    </w:p>
    <w:p>
      <w:pPr>
        <w:ind w:left="504"/>
      </w:pPr>
      <w:r>
        <w:rPr>
          <w:b/>
        </w:rPr>
        <w:t xml:space="preserve">(k) </w:t>
      </w:r>
      <w:r>
        <w:t>continue, in whole or in part, the operations of the Debtors, in its entire discretion and without any obligation to continue any operations whatsoever;</w:t>
      </w:r>
    </w:p>
    <w:p>
      <w:pPr>
        <w:ind w:left="504"/>
      </w:pPr>
      <w:r>
        <w:rPr>
          <w:b/>
        </w:rPr>
        <w:t xml:space="preserve">(l) </w:t>
      </w:r>
      <w:r>
        <w:t>all powers necessary for the control of the receipts and disbursements of the Debtors;</w:t>
      </w:r>
    </w:p>
    <w:p>
      <w:pPr>
        <w:ind w:left="504"/>
      </w:pPr>
      <w:r>
        <w:rPr>
          <w:b/>
        </w:rPr>
        <w:t xml:space="preserve">(m) </w:t>
      </w:r>
      <w:r>
        <w:t>all powers necessary to collect all accounts receivable and other claims of the Debtors and to settle with respect thereto, and to sign any document or contract required or useful for such purposes;</w:t>
      </w:r>
    </w:p>
    <w:p>
      <w:pPr>
        <w:ind w:left="504"/>
      </w:pPr>
      <w:r>
        <w:rPr>
          <w:b/>
        </w:rPr>
        <w:t xml:space="preserve">(n) </w:t>
      </w:r>
      <w:r>
        <w:t>all powers necessary to open any required bank account, according to the terms and conditions it shall determine, with any Canadian chartered bank, or other financial institution, in order to receive any sum payable to the Debtors, and to issue any payment which, in the opinion of the Receiver, is necessary or useful to the operations of the Debtors;</w:t>
      </w:r>
    </w:p>
    <w:p>
      <w:pPr>
        <w:pStyle w:val="Heading2"/>
      </w:pPr>
      <w:r>
        <w:t>10.4 Powers related to the disposition and sale of the Property</w:t>
      </w:r>
    </w:p>
    <w:p>
      <w:pPr>
        <w:ind w:left="504"/>
      </w:pPr>
      <w:r>
        <w:rPr>
          <w:b/>
        </w:rPr>
        <w:t xml:space="preserve">(o) </w:t>
      </w:r>
      <w:r>
        <w:t>all powers necessary to proceed with the sale or disposition of the Property in the ordinary course of business of the Debtors, and to settle in that regard, and to sign any document or contract required or useful for such purposes or intended to give effect to any such sale or disposition;</w:t>
      </w:r>
    </w:p>
    <w:p>
      <w:pPr>
        <w:ind w:left="504"/>
      </w:pPr>
      <w:r>
        <w:rPr>
          <w:b/>
        </w:rPr>
        <w:t xml:space="preserve">(p) </w:t>
      </w:r>
      <w:r>
        <w:t>all powers necessary to interest or solicit one or more potential purchasers of the Property, in whole or in part, including, without limitation, the right to proceed with a public call for tenders or private solicitations with a view to the disposition of the Property;</w:t>
      </w:r>
    </w:p>
    <w:p>
      <w:r>
        <w:rPr>
          <w:b/>
        </w:rPr>
        <w:t xml:space="preserve">[13] </w:t>
      </w:r>
      <w:r>
        <w:t>ORDERS the Receiver to request permission from the Court to sell the Property of the Debtors outside the ordinary course of business, in whole or in part, when it has found a purchaser on terms that it considers reasonable, where applicable;</w:t>
      </w:r>
    </w:p>
    <w:p>
      <w:r>
        <w:rPr>
          <w:b/>
        </w:rPr>
        <w:t xml:space="preserve">[14] </w:t>
      </w:r>
      <w:r>
        <w:t>GRANTS the Receiver all powers necessary to appear before the courts and to institute proceedings that it considers appropriate, including pursuant to section 34 of the BIA, in the exercise of its duties with respect to the Property;</w:t>
      </w:r>
    </w:p>
    <w:p>
      <w:r>
        <w:rPr>
          <w:b/>
        </w:rPr>
        <w:t xml:space="preserve">[15] </w:t>
      </w:r>
      <w:r>
        <w:t>AUTHORIZES the Receiver for and on behalf of the Debtors, as an insolvent person, upon forty-eight (48) hours’ prior notice to the Debtors, to make an assignment of its property pursuant to section 49 BIA, to file a notice of intention to make a proposal pursuant to section 50.4(1) of the BIA or a proposal pursuant to section 50(1) of the BIA, if it considers that this would be necessary or useful to ensure a better realization of the Property of the Debtors;</w:t>
      </w:r>
    </w:p>
    <w:p>
      <w:r>
        <w:rPr>
          <w:b/>
        </w:rPr>
        <w:t xml:space="preserve">[16] </w:t>
      </w:r>
      <w:r>
        <w:t>AUTHORIZES the Receiver to retain the services of any lawyer, or any person or business in order to efficiently perform its duties;</w:t>
      </w:r>
    </w:p>
    <w:p>
      <w:r>
        <w:rPr>
          <w:b/>
        </w:rPr>
        <w:t xml:space="preserve">[17] </w:t>
      </w:r>
      <w:r>
        <w:t>DECLARES that the Receiver may provide information to creditors and other interested parties who make a request in writing. A copy of this request must be transmitted to counsel for the Applicant. The Receiver shall not, however, disclose information considered confidential, proprietary or competitive by the Applicant to third parties without the prior consent of the Applicant, unless otherwise directed by the Court.</w:t>
      </w:r>
    </w:p>
    <w:p>
      <w:pPr>
        <w:pStyle w:val="Heading1"/>
      </w:pPr>
      <w:r>
        <w:t>DUTIES OF THE DEBTORS</w:t>
      </w:r>
    </w:p>
    <w:p>
      <w:r>
        <w:rPr>
          <w:b/>
        </w:rPr>
        <w:t xml:space="preserve">[18] </w:t>
      </w:r>
      <w:r>
        <w:t>ORDERS that the Debtors, their directors, officers, employees, agents and representatives grant, without delay, the Receiver access to the Property, the places of business and premises of the Debtors, and the Records;</w:t>
      </w:r>
    </w:p>
    <w:p>
      <w:r>
        <w:rPr>
          <w:b/>
        </w:rPr>
        <w:t xml:space="preserve">[19] </w:t>
      </w:r>
      <w:r>
        <w:t>ORDERS the Debtors, their directors, officers, employees, agents and representatives to cooperate with the Receiver in the exercise of the powers granted to it under the Order;</w:t>
      </w:r>
    </w:p>
    <w:p>
      <w:r>
        <w:rPr>
          <w:b/>
        </w:rPr>
        <w:t xml:space="preserve">[20] </w:t>
      </w:r>
      <w:r>
        <w:t>ORDERS the Debtors not to dispose of, alienate, encumber or otherwise deal, in any manner whatsoever, with the Property, except in the ordinary course of its business and with the consent of the Receiver;</w:t>
      </w:r>
    </w:p>
    <w:p>
      <w:pPr>
        <w:pStyle w:val="Heading1"/>
      </w:pPr>
      <w:r>
        <w:t>NON-INTERFERENCE WITH THE RECEIVER, THE DEBTORS AND THE PROPERTY</w:t>
      </w:r>
    </w:p>
    <w:p>
      <w:r>
        <w:rPr>
          <w:b/>
        </w:rPr>
        <w:t xml:space="preserve">[21] </w:t>
      </w:r>
      <w:r>
        <w:t>ORDERS that, subject to any other order of the Court, which may not be made without prior notice being duly transmitted to the Receiver and the Applicant, no proceeding, seizure, claim or other enforcement measure may be commenced or executed against the Property;</w:t>
      </w:r>
    </w:p>
    <w:p>
      <w:r>
        <w:rPr>
          <w:b/>
        </w:rPr>
        <w:t xml:space="preserve">[22] </w:t>
      </w:r>
      <w:r>
        <w:t>ORDERS that no person interrupt, modify, terminate or cease performing its obligations under any right, contract, agreement, licence or permit entered into with the Debtors without the prior consent of the Receiver, or with the authorization of the Court;</w:t>
      </w:r>
    </w:p>
    <w:p>
      <w:pPr>
        <w:pStyle w:val="Heading1"/>
      </w:pPr>
      <w:r>
        <w:t>SUPPLY OF SERVICES</w:t>
      </w:r>
    </w:p>
    <w:p>
      <w:r>
        <w:rPr>
          <w:b/>
        </w:rPr>
        <w:t xml:space="preserve">[23] </w:t>
      </w:r>
      <w:r>
        <w:t>ORDERS that any person party to a written or verbal agreement with the Debtors, as well as any supplier of goods or services to the Debtors, be enjoined, until the issuance of any other order of the Court, from terminating, modifying or ceasing to perform any agreement for the supply of goods or services, as may be required by the Receiver, in its sole discretion and without obligation in that regard, and that the Receiver be authorized to continue to use the telephone number, fax number, internet addresses and other services, including the internet and websites of the Debtors, provided that the normal prices and other normal charges for such goods and services supplied or rendered after the date of this Order are paid by the Receiver according to the normal payment practices of the Debtors or according to any other practice that may be agreed between the supplier of goods or services and the Receiver, or according to any order of the Court;</w:t>
      </w:r>
    </w:p>
    <w:p>
      <w:pPr>
        <w:pStyle w:val="Heading1"/>
      </w:pPr>
      <w:r>
        <w:t>EMPLOYEES</w:t>
      </w:r>
    </w:p>
    <w:p>
      <w:r>
        <w:rPr>
          <w:b/>
        </w:rPr>
        <w:t xml:space="preserve">[24] </w:t>
      </w:r>
      <w:r>
        <w:t>PERMITS the Receiver, if it considers it useful or necessary in its sole discretion and without any obligation, to continue to retain the services of the employees of the Debtors until the Receiver, acting for and on behalf of the Debtors, or the Debtors, terminates, dismisses or otherwise ends any such employment of such employees. The Receiver shall in no way be liable for any such employee claim, including as employer or successor employer, as prescribed by section 14.06(1.2) of the BIA, other than with respect to any amount that the Receiver may agree, in writing, to pay with respect to the obligations provided for in subsections 81.4(5) and 81.6(3) of the BIA;</w:t>
      </w:r>
    </w:p>
    <w:p>
      <w:pPr>
        <w:pStyle w:val="Heading1"/>
      </w:pPr>
      <w:r>
        <w:t>PROTECTION OF PERSONAL INFORMATION</w:t>
      </w:r>
    </w:p>
    <w:p>
      <w:r>
        <w:rPr>
          <w:b/>
        </w:rPr>
        <w:t xml:space="preserve">[25] </w:t>
      </w:r>
      <w:r>
        <w:t>DECLARES that, in accordance with subsection 7(3)(c) of the Personal Information Protection and Electronic Documents Act, S.C. 2000, c. 5, the Receiver is authorized to disclose personal information concerning identifiable individuals, which it has in its possession or under its responsibility, to interested parties or to potential investors, financiers, purchasers or strategic partners, as well as to its advisers, but only to the extent that it is appropriate or necessary to do so, and on the condition that the persons to whom such personal information is disclosed undertake to the Receiver under confidentiality agreements obligating them to preserve and protect the confidential nature of such information and to limit its use;</w:t>
      </w:r>
    </w:p>
    <w:p>
      <w:pPr>
        <w:pStyle w:val="Heading1"/>
      </w:pPr>
      <w:r>
        <w:t>LIMITATION OF LIABILITY</w:t>
      </w:r>
    </w:p>
    <w:p>
      <w:r>
        <w:rPr>
          <w:b/>
        </w:rPr>
        <w:t xml:space="preserve">[26] </w:t>
      </w:r>
      <w:r>
        <w:t>DECLARES that, subject to the powers granted to the Receiver under paragraph 10 of the Order, nothing herein imposes an obligation on the Receiver to take possession, control, or otherwise assume the management of any of the Property. The Receiver shall not, by the issuance of this Order, be deemed to be in possession of any of the Property, as provided under any environmental law, all in accordance with the terms of the BIA;</w:t>
      </w:r>
    </w:p>
    <w:p>
      <w:r>
        <w:rPr>
          <w:b/>
        </w:rPr>
        <w:t xml:space="preserve">[27] </w:t>
      </w:r>
      <w:r>
        <w:t>DECLARES that the powers of the Receiver shall be exercised in its sole discretion and according to its judgment;</w:t>
      </w:r>
    </w:p>
    <w:p>
      <w:r>
        <w:rPr>
          <w:b/>
        </w:rPr>
        <w:t xml:space="preserve">[28] </w:t>
      </w:r>
      <w:r>
        <w:t>DECLARES that section 215 BIA applies mutatis mutandis, and therefore, no action or other proceeding may be brought against the Receiver by reason of its appointment or the exercise of the powers granted to it by the Court, except with the prior authorization of the Court. Entities related to the Receiver or belonging to the same group benefit from the protection arising from this paragraph;</w:t>
      </w:r>
    </w:p>
    <w:p>
      <w:pPr>
        <w:pStyle w:val="Heading1"/>
      </w:pPr>
      <w:r>
        <w:t>FEES</w:t>
      </w:r>
    </w:p>
    <w:p>
      <w:r>
        <w:rPr>
          <w:b/>
        </w:rPr>
        <w:t xml:space="preserve">[29] </w:t>
      </w:r>
      <w:r>
        <w:t>RESERVES to the Receiver the right to apply to the Court for the granting, in its favour and over the Property, of a charge as well as any appropriate security to guarantee payment of its professional fees and disbursements incurred before or after this Order in the context of this proceeding;</w:t>
      </w:r>
    </w:p>
    <w:p>
      <w:pPr>
        <w:pStyle w:val="Heading1"/>
      </w:pPr>
      <w:r>
        <w:t>GENERAL</w:t>
      </w:r>
    </w:p>
    <w:p>
      <w:r>
        <w:rPr>
          <w:b/>
        </w:rPr>
        <w:t xml:space="preserve">[30] </w:t>
      </w:r>
      <w:r>
        <w:t>DECLARES that the Order, the Application and the sworn declaration in support thereof do not constitute, in themselves, a default by the Debtors or an omission on their part to comply with a law, regulation, licence, permit, contract, permission, promise, agreement, undertaking or any other writing or requirement;</w:t>
      </w:r>
    </w:p>
    <w:p>
      <w:r>
        <w:rPr>
          <w:b/>
        </w:rPr>
        <w:t xml:space="preserve">[31] </w:t>
      </w:r>
      <w:r>
        <w:t>DECLARES that the Receiver is free to serve any notice, information note or other document relating to this proceeding by sending a copy by ordinary mail, postage paid, by courier, by hand delivery or by electronic transmission, to the persons or other parties concerned, at their last address appearing in the Records; the document so served is deemed to have been received on the date of delivery, if by hand delivery or electronic transmission, on the following business day, if delivered by courier, or three business days following its mailing, if sent by ordinary mail;</w:t>
      </w:r>
    </w:p>
    <w:p>
      <w:r>
        <w:rPr>
          <w:b/>
        </w:rPr>
        <w:t xml:space="preserve">[32] </w:t>
      </w:r>
      <w:r>
        <w:t>DECLARES that the Receiver may serve documents relating to this proceeding on all parties represented by counsel, by sending by electronic mail a PDF document or another form of electronic copy of such documents, to the electronic addresses of counsel, on condition that it deliver paper copies of such documents to any party requesting them as soon as possible thereafter;</w:t>
      </w:r>
    </w:p>
    <w:p>
      <w:r>
        <w:rPr>
          <w:b/>
        </w:rPr>
        <w:t xml:space="preserve">[33] </w:t>
      </w:r>
      <w:r>
        <w:t>DECLARES that any party to this proceeding, other than the Receiver, may serve documents relating thereto by sending by electronic mail a PDF document, or another form of electronic copy of all documents, to the electronic addresses of counsel, on condition that such party deliver PDF documents, or other electronic copies or paper copies of all documents, to counsel for the Debtors and the Receiver, and to any other party requesting them;</w:t>
      </w:r>
    </w:p>
    <w:p>
      <w:r>
        <w:rPr>
          <w:b/>
        </w:rPr>
        <w:t xml:space="preserve">[34] </w:t>
      </w:r>
      <w:r>
        <w:t>DECLARES that, unless otherwise provided herein or by another order of the Court, it is not necessary to serve any document or order on a person, with respect to this proceeding, unless that person has served an appearance on counsel for the Debtors and the Receiver, and has filed it in the Court record;</w:t>
      </w:r>
    </w:p>
    <w:p>
      <w:r>
        <w:rPr>
          <w:b/>
        </w:rPr>
        <w:t xml:space="preserve">[35] </w:t>
      </w:r>
      <w:r>
        <w:t>DECLARES that any interested person may make an application to the Court to have the Order amended or cancelled or to obtain other relief, upon five (5) days’ prior notice to the Receiver and the Applicant, and to any other party likely to be affected by the order sought, or upon such other notice, if any, as the Court may order;</w:t>
      </w:r>
    </w:p>
    <w:p>
      <w:r>
        <w:rPr>
          <w:b/>
        </w:rPr>
        <w:t xml:space="preserve">[36] </w:t>
      </w:r>
      <w:r>
        <w:t>DECLARES that this Order and all other orders in the context of this proceeding are fully enforceable and in force in all provinces and territories of Canada;</w:t>
      </w:r>
    </w:p>
    <w:p>
      <w:r>
        <w:rPr>
          <w:b/>
        </w:rPr>
        <w:t xml:space="preserve">[37] </w:t>
      </w:r>
      <w:r>
        <w:t>DECLARES that the Receiver, with the prior consent of the Debtors, is authorized to apply, as it considers necessary or desirable, with or without notice, to any other court or administrative body in Canada, the United States of America or abroad, in order to obtain orders intended to provide assistance in respect of this Order and any subsequent order of the Court and to supplement them, as well as, without limiting the foregoing, an order under Chapter 15 of the Bankruptcy Code of the United States of America, in respect of which the Receiver shall be the foreign representative of the Debtors. All courts and administrative bodies of all such jurisdictions are hereby respectively requested to make such orders and to provide the Receiver with such assistance as may be considered necessary or appropriate for this purpose;</w:t>
      </w:r>
    </w:p>
    <w:p>
      <w:r>
        <w:rPr>
          <w:b/>
        </w:rPr>
        <w:t xml:space="preserve">[38] </w:t>
      </w:r>
      <w:r>
        <w:t>REQUESTS the assistance and recognition of any court or administrative body of any province of Canada, of any federal court or administrative body of Canada, as well as of any federal or state court or administrative body of the United States of America and of any foreign court or administrative body, so that they provide their assistance to the Court and act as its auxiliaries for the purpose of carrying out the terms of this Order;</w:t>
      </w:r>
    </w:p>
    <w:p>
      <w:r>
        <w:rPr>
          <w:b/>
        </w:rPr>
        <w:t xml:space="preserve">[39] </w:t>
      </w:r>
      <w:r>
        <w:t>ORDERS that the Receiver be authorized, to the extent permitted by the Bankruptcy and Insolvency Act and the Bankruptcy and Insolvency General Rules, to administer the receiverships of the Debtors on a procedurally consolidated basis;</w:t>
      </w:r>
    </w:p>
    <w:p>
      <w:r>
        <w:rPr>
          <w:b/>
        </w:rPr>
        <w:t xml:space="preserve">[40] </w:t>
      </w:r>
      <w:r>
        <w:t>AUTHORIZES the Receiver to prepare and transmit to creditors a consolidated notice relating to its appointment in respect of the three Debtors, provided that such notice separately identifies each of the Debtors and contains, in respect of each of them, all information prescribed by sections 245 and 246 BIA, the General Rules and the prescribed form¹;</w:t>
      </w:r>
    </w:p>
    <w:p>
      <w:r>
        <w:rPr>
          <w:b/>
        </w:rPr>
        <w:t xml:space="preserve">[41] </w:t>
      </w:r>
      <w:r>
        <w:t>AUTHORIZES the Receiver to transmit a single copy of this consolidated notice to any creditor who is a creditor of more than one Debtor;</w:t>
      </w:r>
    </w:p>
    <w:p>
      <w:r>
        <w:rPr>
          <w:b/>
        </w:rPr>
        <w:t xml:space="preserve">[42] </w:t>
      </w:r>
      <w:r>
        <w:t>AUTHORIZES the Receiver to prepare consolidated reports to the Court relating to the three Debtors, provided that the assets, liabilities, receipts, disbursements and distributions attributable to each of the Debtors can be separately identified;</w:t>
      </w:r>
    </w:p>
    <w:p>
      <w:r>
        <w:rPr>
          <w:b/>
        </w:rPr>
        <w:t xml:space="preserve">[43] </w:t>
      </w:r>
      <w:r>
        <w:t>DECLARES that this order does not have the effect of carrying out a substantive consolidation of the estates of the Debtors;</w:t>
      </w:r>
    </w:p>
    <w:p>
      <w:r>
        <w:rPr>
          <w:b/>
        </w:rPr>
        <w:t xml:space="preserve">[44] </w:t>
      </w:r>
      <w:r>
        <w:t>ORDERS the provisional execution of this order notwithstanding any appeal and without it being necessary to provide any guarantee or security whatsoever following justification;</w:t>
      </w:r>
    </w:p>
    <w:p>
      <w:r>
        <w:rPr>
          <w:b/>
        </w:rPr>
        <w:t xml:space="preserve">[45] </w:t>
      </w:r>
      <w:r>
        <w:t>THE WHOLE with costs against the estate.</w:t>
      </w:r>
    </w:p>
    <w:p>
      <w:pPr>
        <w:jc w:val="center"/>
      </w:pPr>
      <w:r>
        <w:rPr>
          <w:b/>
        </w:rPr>
        <w:t>Me VINCENT-MICHEL AUBE</w:t>
        <w:br/>
        <w:t>Registrar</w:t>
      </w:r>
    </w:p>
    <w:p>
      <w:r>
        <w:t>Date of hearing: October 2, 2026</w:t>
      </w:r>
    </w:p>
    <w:p>
      <w:r>
        <w:t>Me Claude Paquet and Me Gary Rivard</w:t>
        <w:br/>
        <w:t>BCF s.e.n.c.r.l.</w:t>
        <w:br/>
        <w:t>Counsel for the Applicant Royal Bank of Canada</w:t>
      </w:r>
    </w:p>
    <w:p>
      <w:r>
        <w:rPr>
          <w:b/>
        </w:rPr>
        <w:t xml:space="preserve">¹ </w:t>
      </w:r>
      <w:r>
        <w:t>In particular, subsequent proceedings must be clearly identified if they concern only one particular Debtor, as mentioned by the Court during the hearing this day.</w:t>
      </w:r>
    </w:p>
    <w:p>
      <w:pPr>
        <w:spacing w:before="240"/>
      </w:pPr>
      <w:r>
        <w:rPr>
          <w:i/>
          <w:sz w:val="18"/>
        </w:rPr>
        <w:t>Translation note: This is an English translation of the French court order supplied by the user. It is not a certified translation. For legal reliance, the original French order governs.</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Morgana Somers</dc:creator>
  <keywords/>
  <dc:description>generated by python-docx</dc:description>
  <lastModifiedBy>Morgana Somers</lastModifiedBy>
  <revision>1</revision>
  <dcterms:created xsi:type="dcterms:W3CDTF">2026-11-04T20:21:41.3793009Z</dcterms:created>
  <dcterms:modified xsi:type="dcterms:W3CDTF">2026-11-04T20:21:41.3793009Z</dcterms:modified>
  <category/>
</coreProperties>
</file>